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87876">
      <w:pPr>
        <w:rPr>
          <w:rFonts w:ascii="宋体" w:hAnsi="宋体" w:cs="Arial"/>
          <w:b/>
          <w:sz w:val="32"/>
          <w:szCs w:val="32"/>
        </w:rPr>
      </w:pPr>
    </w:p>
    <w:p w14:paraId="4858B9CC">
      <w:pPr>
        <w:spacing w:line="520" w:lineRule="exact"/>
        <w:rPr>
          <w:rFonts w:ascii="仿宋_GB2312" w:eastAsia="仿宋_GB2312"/>
          <w:b/>
          <w:bCs/>
          <w:sz w:val="28"/>
          <w:szCs w:val="28"/>
        </w:rPr>
      </w:pPr>
    </w:p>
    <w:p w14:paraId="715D8389">
      <w:pPr>
        <w:spacing w:line="520" w:lineRule="exact"/>
        <w:rPr>
          <w:rFonts w:ascii="仿宋_GB2312" w:eastAsia="仿宋_GB2312"/>
          <w:b/>
          <w:bCs/>
          <w:sz w:val="28"/>
          <w:szCs w:val="28"/>
        </w:rPr>
      </w:pPr>
      <w:r>
        <w:rPr>
          <w:rFonts w:hint="eastAsia" w:ascii="宋体" w:hAnsi="宋体" w:cs="Arial"/>
          <w:b/>
          <w:sz w:val="32"/>
          <w:szCs w:val="32"/>
        </w:rPr>
        <w:drawing>
          <wp:anchor distT="0" distB="0" distL="114300" distR="114300" simplePos="0" relativeHeight="251659264" behindDoc="1" locked="0" layoutInCell="1" allowOverlap="1">
            <wp:simplePos x="0" y="0"/>
            <wp:positionH relativeFrom="column">
              <wp:posOffset>-113030</wp:posOffset>
            </wp:positionH>
            <wp:positionV relativeFrom="paragraph">
              <wp:posOffset>97155</wp:posOffset>
            </wp:positionV>
            <wp:extent cx="5534025" cy="2000250"/>
            <wp:effectExtent l="0" t="0" r="9525" b="0"/>
            <wp:wrapNone/>
            <wp:docPr id="1" name="图片 1" descr="2021.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21.2.2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534025" cy="2000250"/>
                    </a:xfrm>
                    <a:prstGeom prst="rect">
                      <a:avLst/>
                    </a:prstGeom>
                    <a:noFill/>
                    <a:ln>
                      <a:noFill/>
                    </a:ln>
                  </pic:spPr>
                </pic:pic>
              </a:graphicData>
            </a:graphic>
          </wp:anchor>
        </w:drawing>
      </w:r>
    </w:p>
    <w:p w14:paraId="5C4F79C0">
      <w:pPr>
        <w:spacing w:line="520" w:lineRule="exact"/>
        <w:rPr>
          <w:rFonts w:ascii="仿宋_GB2312" w:eastAsia="仿宋_GB2312"/>
          <w:b/>
          <w:bCs/>
          <w:sz w:val="28"/>
          <w:szCs w:val="28"/>
        </w:rPr>
      </w:pPr>
    </w:p>
    <w:p w14:paraId="3C237CDE">
      <w:pPr>
        <w:spacing w:line="480" w:lineRule="exact"/>
        <w:rPr>
          <w:rFonts w:ascii="仿宋_GB2312" w:eastAsia="仿宋_GB2312"/>
          <w:b/>
          <w:bCs/>
          <w:sz w:val="28"/>
          <w:szCs w:val="28"/>
        </w:rPr>
      </w:pPr>
    </w:p>
    <w:p w14:paraId="2DED61BF">
      <w:pPr>
        <w:snapToGrid w:val="0"/>
        <w:rPr>
          <w:rFonts w:ascii="仿宋_GB2312" w:eastAsia="仿宋_GB2312"/>
          <w:b/>
          <w:bCs/>
          <w:sz w:val="18"/>
          <w:szCs w:val="18"/>
        </w:rPr>
      </w:pPr>
    </w:p>
    <w:p w14:paraId="01775643">
      <w:pPr>
        <w:snapToGrid w:val="0"/>
        <w:rPr>
          <w:rFonts w:ascii="仿宋_GB2312" w:eastAsia="仿宋_GB2312"/>
          <w:b/>
          <w:bCs/>
          <w:sz w:val="18"/>
          <w:szCs w:val="18"/>
        </w:rPr>
      </w:pPr>
    </w:p>
    <w:p w14:paraId="20183012">
      <w:pPr>
        <w:snapToGrid w:val="0"/>
        <w:jc w:val="center"/>
        <w:rPr>
          <w:rFonts w:ascii="仿宋_GB2312" w:eastAsia="仿宋_GB2312"/>
          <w:bCs/>
          <w:sz w:val="32"/>
          <w:szCs w:val="32"/>
        </w:rPr>
      </w:pPr>
    </w:p>
    <w:p w14:paraId="2731B2D7">
      <w:pPr>
        <w:snapToGrid w:val="0"/>
        <w:jc w:val="center"/>
        <w:rPr>
          <w:rFonts w:ascii="仿宋_GB2312" w:eastAsia="仿宋_GB2312"/>
          <w:bCs/>
          <w:sz w:val="32"/>
          <w:szCs w:val="32"/>
        </w:rPr>
      </w:pPr>
    </w:p>
    <w:p w14:paraId="665EE8C0">
      <w:pPr>
        <w:snapToGrid w:val="0"/>
        <w:jc w:val="center"/>
        <w:rPr>
          <w:rFonts w:ascii="仿宋_GB2312" w:eastAsia="仿宋_GB2312"/>
          <w:b/>
          <w:bCs/>
          <w:sz w:val="28"/>
          <w:szCs w:val="28"/>
        </w:rPr>
      </w:pPr>
      <w:r>
        <w:rPr>
          <w:rFonts w:hint="eastAsia" w:ascii="仿宋_GB2312" w:eastAsia="仿宋_GB2312"/>
          <w:bCs/>
          <w:sz w:val="32"/>
          <w:szCs w:val="32"/>
        </w:rPr>
        <w:t>广软教</w:t>
      </w:r>
      <w:r>
        <w:rPr>
          <w:rFonts w:hint="eastAsia" w:ascii="仿宋_GB2312" w:eastAsia="仿宋_GB2312"/>
          <w:bCs/>
          <w:sz w:val="32"/>
          <w:szCs w:val="32"/>
          <w:lang w:val="en-US" w:eastAsia="zh-CN"/>
        </w:rPr>
        <w:t>务</w:t>
      </w:r>
      <w:r>
        <w:rPr>
          <w:rFonts w:hint="eastAsia" w:ascii="仿宋_GB2312" w:eastAsia="仿宋_GB2312"/>
          <w:bCs/>
          <w:sz w:val="32"/>
          <w:szCs w:val="32"/>
        </w:rPr>
        <w:t>〔202</w:t>
      </w:r>
      <w:r>
        <w:rPr>
          <w:rFonts w:hint="eastAsia" w:ascii="仿宋_GB2312" w:eastAsia="仿宋_GB2312"/>
          <w:bCs/>
          <w:sz w:val="32"/>
          <w:szCs w:val="32"/>
          <w:lang w:val="en-US" w:eastAsia="zh-CN"/>
        </w:rPr>
        <w:t>6</w:t>
      </w:r>
      <w:r>
        <w:rPr>
          <w:rFonts w:hint="eastAsia" w:ascii="仿宋_GB2312" w:eastAsia="仿宋_GB2312"/>
          <w:bCs/>
          <w:sz w:val="32"/>
          <w:szCs w:val="32"/>
        </w:rPr>
        <w:t>〕</w:t>
      </w:r>
      <w:r>
        <w:rPr>
          <w:rFonts w:hint="eastAsia" w:ascii="仿宋_GB2312" w:eastAsia="仿宋_GB2312"/>
          <w:bCs/>
          <w:sz w:val="32"/>
          <w:szCs w:val="32"/>
          <w:lang w:val="en-US" w:eastAsia="zh-CN"/>
        </w:rPr>
        <w:t>282</w:t>
      </w:r>
      <w:r>
        <w:rPr>
          <w:rFonts w:hint="eastAsia" w:ascii="仿宋_GB2312" w:eastAsia="仿宋_GB2312"/>
          <w:bCs/>
          <w:sz w:val="32"/>
          <w:szCs w:val="32"/>
        </w:rPr>
        <w:t>号</w:t>
      </w:r>
    </w:p>
    <w:p w14:paraId="2C65B44D">
      <w:pPr>
        <w:spacing w:line="240" w:lineRule="exact"/>
        <w:jc w:val="left"/>
        <w:rPr>
          <w:sz w:val="28"/>
          <w:szCs w:val="36"/>
        </w:rPr>
      </w:pPr>
    </w:p>
    <w:p w14:paraId="179A958A">
      <w:pPr>
        <w:spacing w:line="240" w:lineRule="exact"/>
        <w:jc w:val="left"/>
        <w:rPr>
          <w:sz w:val="28"/>
          <w:szCs w:val="36"/>
        </w:rPr>
      </w:pPr>
    </w:p>
    <w:p w14:paraId="26C97223">
      <w:pPr>
        <w:spacing w:line="240" w:lineRule="exact"/>
        <w:jc w:val="left"/>
        <w:rPr>
          <w:sz w:val="28"/>
          <w:szCs w:val="36"/>
        </w:rPr>
      </w:pPr>
    </w:p>
    <w:p w14:paraId="7E2AA584">
      <w:pPr>
        <w:spacing w:line="600" w:lineRule="exact"/>
        <w:jc w:val="center"/>
        <w:rPr>
          <w:rFonts w:ascii="方正小标宋简体" w:hAnsi="宋体" w:eastAsia="方正小标宋简体" w:cs="宋体"/>
          <w:sz w:val="44"/>
          <w:szCs w:val="44"/>
        </w:rPr>
      </w:pPr>
      <w:r>
        <w:rPr>
          <w:rFonts w:hint="eastAsia" w:ascii="方正小标宋简体" w:hAnsi="方正小标宋简体" w:eastAsia="方正小标宋简体" w:cs="方正小标宋简体"/>
          <w:bCs/>
          <w:sz w:val="44"/>
          <w:szCs w:val="44"/>
        </w:rPr>
        <w:t>广州软件学院关于印发《</w:t>
      </w:r>
      <w:r>
        <w:rPr>
          <w:rFonts w:hint="eastAsia" w:ascii="方正小标宋简体" w:hAnsi="宋体" w:eastAsia="方正小标宋简体" w:cs="宋体"/>
          <w:sz w:val="44"/>
          <w:szCs w:val="44"/>
        </w:rPr>
        <w:t>广州软件学院</w:t>
      </w:r>
    </w:p>
    <w:p w14:paraId="0DBE5D86">
      <w:pPr>
        <w:spacing w:line="600" w:lineRule="exact"/>
        <w:jc w:val="center"/>
        <w:rPr>
          <w:rFonts w:ascii="方正小标宋简体" w:hAnsi="方正小标宋简体" w:eastAsia="方正小标宋简体" w:cs="方正小标宋简体"/>
          <w:bCs/>
          <w:sz w:val="44"/>
          <w:szCs w:val="44"/>
        </w:rPr>
      </w:pPr>
      <w:r>
        <w:rPr>
          <w:rFonts w:hint="eastAsia" w:ascii="方正小标宋简体" w:hAnsi="宋体" w:eastAsia="方正小标宋简体"/>
          <w:bCs/>
          <w:sz w:val="44"/>
          <w:szCs w:val="44"/>
        </w:rPr>
        <w:t>本科人才培养方案管理办法</w:t>
      </w:r>
      <w:r>
        <w:rPr>
          <w:rFonts w:hint="eastAsia" w:ascii="方正小标宋简体" w:hAnsi="宋体" w:eastAsia="方正小标宋简体" w:cs="宋体"/>
          <w:sz w:val="44"/>
          <w:szCs w:val="44"/>
        </w:rPr>
        <w:t>》</w:t>
      </w:r>
      <w:r>
        <w:rPr>
          <w:rFonts w:hint="eastAsia" w:ascii="方正小标宋简体" w:hAnsi="方正小标宋简体" w:eastAsia="方正小标宋简体" w:cs="方正小标宋简体"/>
          <w:bCs/>
          <w:sz w:val="44"/>
          <w:szCs w:val="44"/>
        </w:rPr>
        <w:t>的通知</w:t>
      </w:r>
    </w:p>
    <w:p w14:paraId="562F5FEB">
      <w:pPr>
        <w:pStyle w:val="2"/>
        <w:adjustRightInd w:val="0"/>
        <w:snapToGrid w:val="0"/>
        <w:spacing w:line="540" w:lineRule="exact"/>
        <w:ind w:firstLine="0"/>
        <w:rPr>
          <w:color w:val="000000"/>
        </w:rPr>
      </w:pPr>
    </w:p>
    <w:p w14:paraId="5335564F">
      <w:pPr>
        <w:pStyle w:val="2"/>
        <w:adjustRightInd w:val="0"/>
        <w:snapToGrid w:val="0"/>
        <w:spacing w:line="540" w:lineRule="exact"/>
        <w:ind w:firstLine="0"/>
      </w:pPr>
      <w:r>
        <w:rPr>
          <w:rFonts w:hint="eastAsia"/>
        </w:rPr>
        <w:t>校属各单位：</w:t>
      </w:r>
      <w:r>
        <w:rPr>
          <w:rFonts w:hint="eastAsia"/>
        </w:rPr>
        <w:br w:type="textWrapping"/>
      </w:r>
      <w:r>
        <w:rPr>
          <w:rFonts w:hint="eastAsia"/>
        </w:rPr>
        <w:t xml:space="preserve">    现将《广州软件学院本科人才培养方案管理办法》予以印发，请遵照执行。</w:t>
      </w:r>
    </w:p>
    <w:p w14:paraId="31874552">
      <w:pPr>
        <w:pStyle w:val="2"/>
        <w:adjustRightInd w:val="0"/>
        <w:snapToGrid w:val="0"/>
        <w:spacing w:line="540" w:lineRule="exact"/>
        <w:ind w:left="1396" w:leftChars="665" w:firstLine="160" w:firstLineChars="50"/>
      </w:pPr>
    </w:p>
    <w:p w14:paraId="3CA00788">
      <w:pPr>
        <w:pStyle w:val="2"/>
        <w:adjustRightInd w:val="0"/>
        <w:snapToGrid w:val="0"/>
        <w:spacing w:line="540" w:lineRule="exact"/>
        <w:ind w:firstLine="0"/>
      </w:pPr>
    </w:p>
    <w:p w14:paraId="0598819C">
      <w:pPr>
        <w:pStyle w:val="2"/>
        <w:wordWrap w:val="0"/>
        <w:adjustRightInd w:val="0"/>
        <w:snapToGrid w:val="0"/>
        <w:spacing w:line="540" w:lineRule="exact"/>
        <w:jc w:val="right"/>
      </w:pPr>
      <w:r>
        <w:t>广州软件学院</w:t>
      </w:r>
      <w:r>
        <w:rPr>
          <w:rFonts w:hint="eastAsia"/>
        </w:rPr>
        <w:t>教务处</w:t>
      </w:r>
    </w:p>
    <w:p w14:paraId="7AD690CE">
      <w:pPr>
        <w:pStyle w:val="2"/>
        <w:wordWrap w:val="0"/>
        <w:adjustRightInd w:val="0"/>
        <w:snapToGrid w:val="0"/>
        <w:spacing w:line="540" w:lineRule="exact"/>
        <w:jc w:val="right"/>
        <w:rPr>
          <w:color w:val="000000"/>
        </w:rPr>
      </w:pPr>
      <w:r>
        <w:t>20</w:t>
      </w:r>
      <w:r>
        <w:rPr>
          <w:rFonts w:hint="eastAsia"/>
        </w:rPr>
        <w:t>2</w:t>
      </w:r>
      <w:r>
        <w:rPr>
          <w:rFonts w:hint="eastAsia"/>
          <w:lang w:val="en-US" w:eastAsia="zh-CN"/>
        </w:rPr>
        <w:t>6</w:t>
      </w:r>
      <w:r>
        <w:t>年</w:t>
      </w:r>
      <w:r>
        <w:rPr>
          <w:rFonts w:hint="eastAsia"/>
          <w:lang w:val="en-US" w:eastAsia="zh-CN"/>
        </w:rPr>
        <w:t>3</w:t>
      </w:r>
      <w:r>
        <w:t>月</w:t>
      </w:r>
      <w:r>
        <w:rPr>
          <w:rFonts w:hint="eastAsia"/>
          <w:lang w:val="en-US" w:eastAsia="zh-CN"/>
        </w:rPr>
        <w:t>23</w:t>
      </w:r>
      <w:r>
        <w:t>日</w:t>
      </w:r>
    </w:p>
    <w:p w14:paraId="75DC4477">
      <w:pPr>
        <w:spacing w:line="600" w:lineRule="exact"/>
        <w:jc w:val="center"/>
        <w:outlineLvl w:val="0"/>
        <w:rPr>
          <w:rFonts w:hint="eastAsia" w:ascii="方正小标宋简体" w:hAnsi="宋体" w:eastAsia="方正小标宋简体"/>
          <w:bCs/>
          <w:sz w:val="44"/>
          <w:szCs w:val="44"/>
        </w:rPr>
        <w:sectPr>
          <w:pgSz w:w="11906" w:h="16838"/>
          <w:pgMar w:top="1440" w:right="1800" w:bottom="1440" w:left="1800" w:header="851" w:footer="992" w:gutter="0"/>
          <w:pgNumType w:fmt="numberInDash"/>
          <w:cols w:space="425" w:num="1"/>
          <w:titlePg/>
          <w:docGrid w:type="lines" w:linePitch="312" w:charSpace="0"/>
        </w:sectPr>
      </w:pPr>
      <w:bookmarkStart w:id="0" w:name="_Toc192844226"/>
      <w:bookmarkStart w:id="1" w:name="_Toc26252"/>
      <w:bookmarkStart w:id="2" w:name="_Toc11963"/>
      <w:bookmarkStart w:id="3" w:name="_Toc17588"/>
    </w:p>
    <w:p w14:paraId="1577E5B0">
      <w:pPr>
        <w:spacing w:line="600" w:lineRule="exact"/>
        <w:jc w:val="center"/>
        <w:outlineLvl w:val="0"/>
        <w:rPr>
          <w:rFonts w:ascii="方正小标宋简体" w:hAnsi="宋体" w:eastAsia="方正小标宋简体"/>
          <w:bCs/>
          <w:sz w:val="44"/>
          <w:szCs w:val="44"/>
        </w:rPr>
      </w:pPr>
      <w:r>
        <w:rPr>
          <w:rFonts w:hint="eastAsia" w:ascii="方正小标宋简体" w:hAnsi="宋体" w:eastAsia="方正小标宋简体"/>
          <w:bCs/>
          <w:sz w:val="44"/>
          <w:szCs w:val="44"/>
        </w:rPr>
        <w:t>广州软件学院本科人才培养方案</w:t>
      </w:r>
      <w:bookmarkEnd w:id="0"/>
      <w:bookmarkEnd w:id="1"/>
      <w:bookmarkEnd w:id="2"/>
      <w:bookmarkEnd w:id="3"/>
      <w:r>
        <w:rPr>
          <w:rFonts w:hint="eastAsia" w:ascii="方正小标宋简体" w:hAnsi="宋体" w:eastAsia="方正小标宋简体"/>
          <w:bCs/>
          <w:sz w:val="44"/>
          <w:szCs w:val="44"/>
        </w:rPr>
        <w:t>管理办法</w:t>
      </w:r>
    </w:p>
    <w:p w14:paraId="33B35C3E">
      <w:pPr>
        <w:autoSpaceDE w:val="0"/>
        <w:autoSpaceDN w:val="0"/>
        <w:adjustRightInd w:val="0"/>
        <w:spacing w:line="600" w:lineRule="exact"/>
        <w:jc w:val="center"/>
        <w:rPr>
          <w:rFonts w:ascii="黑体" w:eastAsia="黑体" w:cs="黑体"/>
          <w:b/>
          <w:bCs/>
          <w:kern w:val="0"/>
          <w:sz w:val="32"/>
          <w:szCs w:val="32"/>
        </w:rPr>
      </w:pPr>
    </w:p>
    <w:p w14:paraId="02E67F0F">
      <w:pPr>
        <w:autoSpaceDE w:val="0"/>
        <w:autoSpaceDN w:val="0"/>
        <w:adjustRightInd w:val="0"/>
        <w:spacing w:line="600" w:lineRule="exact"/>
        <w:jc w:val="center"/>
        <w:rPr>
          <w:rFonts w:ascii="黑体" w:eastAsia="黑体" w:cs="黑体"/>
          <w:kern w:val="0"/>
          <w:sz w:val="32"/>
          <w:szCs w:val="32"/>
        </w:rPr>
      </w:pPr>
      <w:r>
        <w:rPr>
          <w:rFonts w:hint="eastAsia" w:ascii="黑体" w:hAnsi="黑体" w:eastAsia="黑体" w:cs="仿宋_GB2312"/>
          <w:sz w:val="32"/>
          <w:szCs w:val="32"/>
        </w:rPr>
        <w:t>第一章</w:t>
      </w:r>
      <w:r>
        <w:rPr>
          <w:rFonts w:ascii="黑体" w:hAnsi="黑体" w:eastAsia="黑体" w:cs="仿宋_GB2312"/>
          <w:sz w:val="32"/>
          <w:szCs w:val="32"/>
        </w:rPr>
        <w:t xml:space="preserve"> </w:t>
      </w:r>
      <w:r>
        <w:rPr>
          <w:rFonts w:hint="eastAsia" w:ascii="黑体" w:hAnsi="黑体" w:eastAsia="黑体" w:cs="仿宋_GB2312"/>
          <w:sz w:val="32"/>
          <w:szCs w:val="32"/>
        </w:rPr>
        <w:t>总</w:t>
      </w:r>
      <w:r>
        <w:rPr>
          <w:rFonts w:ascii="黑体" w:hAnsi="黑体" w:eastAsia="黑体" w:cs="仿宋_GB2312"/>
          <w:sz w:val="32"/>
          <w:szCs w:val="32"/>
        </w:rPr>
        <w:t xml:space="preserve"> </w:t>
      </w:r>
      <w:r>
        <w:rPr>
          <w:rFonts w:hint="eastAsia" w:ascii="黑体" w:hAnsi="黑体" w:eastAsia="黑体" w:cs="仿宋_GB2312"/>
          <w:sz w:val="32"/>
          <w:szCs w:val="32"/>
        </w:rPr>
        <w:t>则</w:t>
      </w:r>
    </w:p>
    <w:p w14:paraId="5FA50F54">
      <w:pPr>
        <w:autoSpaceDE w:val="0"/>
        <w:autoSpaceDN w:val="0"/>
        <w:adjustRightInd w:val="0"/>
        <w:spacing w:line="600" w:lineRule="exact"/>
        <w:ind w:firstLine="640" w:firstLineChars="200"/>
        <w:rPr>
          <w:rFonts w:ascii="仿宋_GB2312" w:eastAsia="仿宋_GB2312" w:cs="仿宋_GB2312"/>
          <w:bCs/>
          <w:kern w:val="0"/>
          <w:sz w:val="32"/>
          <w:szCs w:val="32"/>
        </w:rPr>
      </w:pPr>
      <w:r>
        <w:rPr>
          <w:rFonts w:hint="eastAsia" w:ascii="楷体_GB2312" w:hAnsi="宋体" w:eastAsia="楷体_GB2312" w:cs="仿宋_GB2312"/>
          <w:color w:val="000000"/>
          <w:sz w:val="32"/>
          <w:szCs w:val="32"/>
        </w:rPr>
        <w:t>第一条</w:t>
      </w:r>
      <w:r>
        <w:rPr>
          <w:rFonts w:ascii="仿宋_GB2312" w:hAnsi="宋体" w:eastAsia="仿宋_GB2312" w:cs="仿宋_GB2312"/>
          <w:color w:val="000000"/>
          <w:sz w:val="32"/>
          <w:szCs w:val="32"/>
        </w:rPr>
        <w:t xml:space="preserve"> </w:t>
      </w:r>
      <w:r>
        <w:rPr>
          <w:rFonts w:hint="eastAsia" w:ascii="仿宋_GB2312" w:hAnsi="宋体" w:eastAsia="仿宋_GB2312" w:cs="仿宋_GB2312"/>
          <w:color w:val="000000"/>
          <w:sz w:val="32"/>
          <w:szCs w:val="32"/>
        </w:rPr>
        <w:t>为进一步</w:t>
      </w:r>
      <w:r>
        <w:rPr>
          <w:rFonts w:hint="eastAsia" w:ascii="仿宋_GB2312" w:hAnsi="宋体" w:eastAsia="仿宋_GB2312" w:cs="仿宋_GB2312"/>
          <w:sz w:val="32"/>
          <w:szCs w:val="32"/>
        </w:rPr>
        <w:t>加强我校本科专业人才培养方案的管理，全面提升应用型人才培养质量，按照《中华人民共和国高等教育法》《普通高等学校本科专业类教学质量国家标准》等文件的有关要求，结合学校实际，制定本办法。</w:t>
      </w:r>
    </w:p>
    <w:p w14:paraId="3D15B7AF">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楷体_GB2312" w:hAnsi="宋体" w:eastAsia="楷体_GB2312" w:cs="仿宋_GB2312"/>
          <w:sz w:val="32"/>
          <w:szCs w:val="32"/>
        </w:rPr>
        <w:t>第二条</w:t>
      </w:r>
      <w:r>
        <w:rPr>
          <w:rFonts w:ascii="仿宋_GB2312" w:hAnsi="宋体" w:eastAsia="仿宋_GB2312" w:cs="仿宋_GB2312"/>
          <w:sz w:val="32"/>
          <w:szCs w:val="32"/>
        </w:rPr>
        <w:t xml:space="preserve"> </w:t>
      </w:r>
      <w:r>
        <w:rPr>
          <w:rFonts w:hint="eastAsia" w:ascii="仿宋_GB2312" w:hAnsi="宋体" w:eastAsia="仿宋_GB2312" w:cs="仿宋_GB2312"/>
          <w:sz w:val="32"/>
          <w:szCs w:val="32"/>
        </w:rPr>
        <w:t>本科专业人才培养方案是学校贯彻落实党的教育方针、实现人才培养目标的纲领性文件，是规范教育教学活动、保障人才培养质量的根本遵循，是安排教学任务、组织教学过程、进行教学管理的基本依据。人才培养方案的制（修）订和实施应当具有权威性和严肃性，其制(修)订、执行和变更，必须严格按照规范和程序进行。</w:t>
      </w:r>
    </w:p>
    <w:p w14:paraId="081E3D0A">
      <w:pPr>
        <w:autoSpaceDE w:val="0"/>
        <w:autoSpaceDN w:val="0"/>
        <w:adjustRightInd w:val="0"/>
        <w:spacing w:line="600" w:lineRule="exact"/>
        <w:jc w:val="center"/>
        <w:rPr>
          <w:rFonts w:ascii="黑体" w:hAnsi="黑体" w:eastAsia="黑体" w:cs="仿宋_GB2312"/>
          <w:sz w:val="32"/>
          <w:szCs w:val="32"/>
        </w:rPr>
      </w:pPr>
      <w:r>
        <w:rPr>
          <w:rFonts w:hint="eastAsia" w:ascii="黑体" w:hAnsi="黑体" w:eastAsia="黑体" w:cs="仿宋_GB2312"/>
          <w:sz w:val="32"/>
          <w:szCs w:val="32"/>
        </w:rPr>
        <w:t>第二章 组织与职责</w:t>
      </w:r>
    </w:p>
    <w:p w14:paraId="08F31893">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楷体_GB2312" w:hAnsi="宋体" w:eastAsia="楷体_GB2312" w:cs="仿宋_GB2312"/>
          <w:sz w:val="32"/>
          <w:szCs w:val="32"/>
        </w:rPr>
        <w:t>第三条</w:t>
      </w:r>
      <w:r>
        <w:rPr>
          <w:rFonts w:hint="eastAsia" w:ascii="仿宋_GB2312" w:hAnsi="宋体" w:eastAsia="仿宋_GB2312" w:cs="仿宋_GB2312"/>
          <w:sz w:val="32"/>
          <w:szCs w:val="32"/>
        </w:rPr>
        <w:t xml:space="preserve"> 人才培养方案实行校院两级管理。教务处负责组织、协调培养方案的制（修）订工作，出台培养方案制（修）订指导意见，监督二级学院制（修）订培养方案过程的合理性，组织人才培养方案的论证和审定，检查学院培养方案执行情况，受理学院培养方案变更申请等。</w:t>
      </w:r>
    </w:p>
    <w:p w14:paraId="7CFD0A2E">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楷体_GB2312" w:hAnsi="宋体" w:eastAsia="楷体_GB2312" w:cs="仿宋_GB2312"/>
          <w:sz w:val="32"/>
          <w:szCs w:val="32"/>
        </w:rPr>
        <w:t>第四条</w:t>
      </w:r>
      <w:r>
        <w:rPr>
          <w:rFonts w:hint="eastAsia" w:ascii="仿宋_GB2312" w:hAnsi="宋体" w:eastAsia="仿宋_GB2312" w:cs="仿宋_GB2312"/>
          <w:sz w:val="32"/>
          <w:szCs w:val="32"/>
        </w:rPr>
        <w:t xml:space="preserve"> 二级学院是培养方案管理的主体。培养方案由学院领导具体负责，院教学指导委员会审核、院务会审议。学院根据学校人才培养方案指导意见，分专业组织培养方案的</w:t>
      </w:r>
      <w:bookmarkStart w:id="4" w:name="_GoBack"/>
      <w:bookmarkEnd w:id="4"/>
      <w:r>
        <w:rPr>
          <w:rFonts w:hint="eastAsia" w:ascii="仿宋_GB2312" w:hAnsi="宋体" w:eastAsia="仿宋_GB2312" w:cs="仿宋_GB2312"/>
          <w:sz w:val="32"/>
          <w:szCs w:val="32"/>
        </w:rPr>
        <w:t>制（修）订、论证、执行、评价与改进等工作，并根据实际情况提出培养方案变更申请。</w:t>
      </w:r>
    </w:p>
    <w:p w14:paraId="4BA03003">
      <w:pPr>
        <w:autoSpaceDE w:val="0"/>
        <w:autoSpaceDN w:val="0"/>
        <w:adjustRightInd w:val="0"/>
        <w:spacing w:line="600" w:lineRule="exact"/>
        <w:jc w:val="center"/>
        <w:rPr>
          <w:rFonts w:ascii="黑体" w:hAnsi="黑体" w:eastAsia="黑体" w:cs="仿宋_GB2312"/>
          <w:sz w:val="32"/>
          <w:szCs w:val="32"/>
        </w:rPr>
      </w:pPr>
      <w:r>
        <w:rPr>
          <w:rFonts w:hint="eastAsia" w:ascii="黑体" w:hAnsi="黑体" w:eastAsia="黑体" w:cs="仿宋_GB2312"/>
          <w:sz w:val="32"/>
          <w:szCs w:val="32"/>
        </w:rPr>
        <w:t>第三章 人才培养方案的制(修)订</w:t>
      </w:r>
    </w:p>
    <w:p w14:paraId="7FDF6899">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楷体_GB2312" w:hAnsi="宋体" w:eastAsia="楷体_GB2312" w:cs="仿宋_GB2312"/>
          <w:sz w:val="32"/>
          <w:szCs w:val="32"/>
        </w:rPr>
        <w:t>第五条</w:t>
      </w:r>
      <w:r>
        <w:rPr>
          <w:rFonts w:hint="eastAsia" w:ascii="仿宋_GB2312" w:hAnsi="宋体" w:eastAsia="仿宋_GB2312" w:cs="仿宋_GB2312"/>
          <w:sz w:val="32"/>
          <w:szCs w:val="32"/>
        </w:rPr>
        <w:t xml:space="preserve"> 培养方案的制订是指新增专业按照学校最新版修订意见及相关要求，对培养方案进行的系统性设计；培养方案的修订是指已有专业按照学校最新版修订意见及相关要求，对培养方案进行的系统性完善。</w:t>
      </w:r>
    </w:p>
    <w:p w14:paraId="0CED4373">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楷体_GB2312" w:hAnsi="宋体" w:eastAsia="楷体_GB2312" w:cs="仿宋_GB2312"/>
          <w:sz w:val="32"/>
          <w:szCs w:val="32"/>
        </w:rPr>
        <w:t>第六条</w:t>
      </w:r>
      <w:r>
        <w:rPr>
          <w:rFonts w:hint="eastAsia" w:ascii="仿宋_GB2312" w:hAnsi="宋体" w:eastAsia="仿宋_GB2312" w:cs="仿宋_GB2312"/>
          <w:sz w:val="32"/>
          <w:szCs w:val="32"/>
        </w:rPr>
        <w:t xml:space="preserve"> 培养方案原则上每四年修订一次。为保障培养人才与社会需求的匹配度与前瞻性，可根据区域社会人才需求变化，在教务处的组织下适时微调。</w:t>
      </w:r>
    </w:p>
    <w:p w14:paraId="0F9BECC6">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楷体_GB2312" w:hAnsi="宋体" w:eastAsia="楷体_GB2312" w:cs="仿宋_GB2312"/>
          <w:sz w:val="32"/>
          <w:szCs w:val="32"/>
        </w:rPr>
        <w:t>第七条</w:t>
      </w:r>
      <w:r>
        <w:rPr>
          <w:rFonts w:hint="eastAsia" w:ascii="仿宋_GB2312" w:hAnsi="宋体" w:eastAsia="仿宋_GB2312" w:cs="仿宋_GB2312"/>
          <w:sz w:val="32"/>
          <w:szCs w:val="32"/>
        </w:rPr>
        <w:t xml:space="preserve"> 培养方案的制（修）订基本原则</w:t>
      </w:r>
    </w:p>
    <w:p w14:paraId="0616FAD7">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（一）坚持立德树人。以习近平新时代中国特色社会主义思想为指导，全面贯彻落实党的教育方针，将立德树人根本任务贯穿于本科人才培养全过程，培养德智体美劳全面发展的社会主义建设者和接班人。</w:t>
      </w:r>
    </w:p>
    <w:p w14:paraId="699C8615">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（二）坚持面向需求。依据《普通高等学校本科专业类教学质量国家标准》，对接地方区域经济和行业发展需求，明确培养目标和毕业要求，建立面向需求的课程体系。</w:t>
      </w:r>
    </w:p>
    <w:p w14:paraId="2D333C0D">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（三）突出专业特色。依托本专业现有发展基础和资源，强化应用型人才培养，创新人才培养模式，避免人才培养的“趋同化”，凝练专业特色。</w:t>
      </w:r>
    </w:p>
    <w:p w14:paraId="6B0F663D">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楷体_GB2312" w:hAnsi="宋体" w:eastAsia="楷体_GB2312" w:cs="仿宋_GB2312"/>
          <w:sz w:val="32"/>
          <w:szCs w:val="32"/>
        </w:rPr>
        <w:t>第八条</w:t>
      </w:r>
      <w:r>
        <w:rPr>
          <w:rFonts w:hint="eastAsia" w:ascii="仿宋_GB2312" w:hAnsi="宋体" w:eastAsia="仿宋_GB2312" w:cs="仿宋_GB2312"/>
          <w:sz w:val="32"/>
          <w:szCs w:val="32"/>
        </w:rPr>
        <w:t xml:space="preserve"> </w:t>
      </w:r>
      <w:r>
        <w:rPr>
          <w:rFonts w:ascii="仿宋_GB2312" w:hAnsi="宋体" w:eastAsia="仿宋_GB2312" w:cs="仿宋_GB2312"/>
          <w:sz w:val="32"/>
          <w:szCs w:val="32"/>
        </w:rPr>
        <w:t>培养方案的制（修）订程序</w:t>
      </w:r>
    </w:p>
    <w:p w14:paraId="5D6897D6">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（一）每年3月前，由教务处根据教育主管部门关于本科教育教学的相关规定和文件精神，结合学校的专业建设和专业教学工作，负责制定人才培养方案的制（修）订指导意见(以下简称《指导意见》)，</w:t>
      </w:r>
      <w:r>
        <w:rPr>
          <w:rFonts w:ascii="仿宋_GB2312" w:hAnsi="宋体" w:eastAsia="仿宋_GB2312" w:cs="仿宋_GB2312"/>
          <w:sz w:val="32"/>
          <w:szCs w:val="32"/>
        </w:rPr>
        <w:t>经学校审批同意</w:t>
      </w:r>
      <w:r>
        <w:rPr>
          <w:rFonts w:hint="eastAsia" w:ascii="仿宋_GB2312" w:hAnsi="宋体" w:eastAsia="仿宋_GB2312" w:cs="仿宋_GB2312"/>
          <w:sz w:val="32"/>
          <w:szCs w:val="32"/>
        </w:rPr>
        <w:t>后</w:t>
      </w:r>
      <w:r>
        <w:rPr>
          <w:rFonts w:ascii="仿宋_GB2312" w:hAnsi="宋体" w:eastAsia="仿宋_GB2312" w:cs="仿宋_GB2312"/>
          <w:sz w:val="32"/>
          <w:szCs w:val="32"/>
        </w:rPr>
        <w:t>，</w:t>
      </w:r>
      <w:r>
        <w:rPr>
          <w:rFonts w:hint="eastAsia" w:ascii="仿宋_GB2312" w:hAnsi="宋体" w:eastAsia="仿宋_GB2312" w:cs="仿宋_GB2312"/>
          <w:sz w:val="32"/>
          <w:szCs w:val="32"/>
        </w:rPr>
        <w:t>以教务处</w:t>
      </w:r>
      <w:r>
        <w:rPr>
          <w:rFonts w:ascii="仿宋_GB2312" w:hAnsi="宋体" w:eastAsia="仿宋_GB2312" w:cs="仿宋_GB2312"/>
          <w:sz w:val="32"/>
          <w:szCs w:val="32"/>
        </w:rPr>
        <w:t>文件</w:t>
      </w:r>
      <w:r>
        <w:rPr>
          <w:rFonts w:hint="eastAsia" w:ascii="仿宋_GB2312" w:hAnsi="宋体" w:eastAsia="仿宋_GB2312" w:cs="仿宋_GB2312"/>
          <w:sz w:val="32"/>
          <w:szCs w:val="32"/>
        </w:rPr>
        <w:t>予以公布，作为各二级学院制（修）订培养方案的依据。</w:t>
      </w:r>
    </w:p>
    <w:p w14:paraId="7B0E9E61">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（二）每年3月，各学院根据《指导意见》的要求，组织各专业的专业负责人、骨干教师充分调研，</w:t>
      </w:r>
      <w:r>
        <w:rPr>
          <w:rFonts w:ascii="仿宋_GB2312" w:hAnsi="宋体" w:eastAsia="仿宋_GB2312" w:cs="仿宋_GB2312"/>
          <w:sz w:val="32"/>
          <w:szCs w:val="32"/>
        </w:rPr>
        <w:t>广泛征询教师、学生、毕业生、用人单位和行业企业相关方意见，</w:t>
      </w:r>
      <w:r>
        <w:rPr>
          <w:rFonts w:hint="eastAsia" w:ascii="仿宋_GB2312" w:hAnsi="宋体" w:eastAsia="仿宋_GB2312" w:cs="仿宋_GB2312"/>
          <w:sz w:val="32"/>
          <w:szCs w:val="32"/>
        </w:rPr>
        <w:t>拟订各专业人才培养方案。</w:t>
      </w:r>
    </w:p>
    <w:p w14:paraId="30A4250A">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（三）各学院组织专业建设指导委员会进行讨论、修改，经院教学指导委员会或组织校内外专家进行论证、院务会审议后报送教务处。</w:t>
      </w:r>
    </w:p>
    <w:p w14:paraId="060D66ED">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（四）每年4月，教务处根据修订情况组织学校学术委员会进行论证和审议，并对培养方案的不足之处提出修改意见。</w:t>
      </w:r>
    </w:p>
    <w:p w14:paraId="38473E2B">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（五）各学院组织专业负责人根据论证意见修改、完善人才培养方案，经院教学指导委员会审核、院务会再次审议后报送教务处。</w:t>
      </w:r>
    </w:p>
    <w:p w14:paraId="764E0B59">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（六）每年6月,教务处整理、汇总各专业人才培养方案，经学校审批同意后，各专业自新一级学生开始执行，教务处印制适量存档。</w:t>
      </w:r>
    </w:p>
    <w:p w14:paraId="2015079E">
      <w:pPr>
        <w:autoSpaceDE w:val="0"/>
        <w:autoSpaceDN w:val="0"/>
        <w:adjustRightInd w:val="0"/>
        <w:spacing w:line="600" w:lineRule="exact"/>
        <w:ind w:firstLine="640" w:firstLineChars="200"/>
        <w:rPr>
          <w:rFonts w:ascii="黑体" w:eastAsia="黑体" w:cs="黑体"/>
          <w:kern w:val="0"/>
          <w:sz w:val="32"/>
          <w:szCs w:val="32"/>
        </w:rPr>
      </w:pPr>
      <w:r>
        <w:rPr>
          <w:rFonts w:hint="eastAsia" w:ascii="楷体_GB2312" w:hAnsi="宋体" w:eastAsia="楷体_GB2312" w:cs="仿宋_GB2312"/>
          <w:sz w:val="32"/>
          <w:szCs w:val="32"/>
        </w:rPr>
        <w:t>第九条</w:t>
      </w:r>
      <w:r>
        <w:rPr>
          <w:rFonts w:hint="eastAsia" w:ascii="仿宋_GB2312" w:hAnsi="宋体" w:eastAsia="仿宋_GB2312" w:cs="仿宋_GB2312"/>
          <w:sz w:val="32"/>
          <w:szCs w:val="32"/>
        </w:rPr>
        <w:t xml:space="preserve"> </w:t>
      </w:r>
      <w:r>
        <w:rPr>
          <w:rFonts w:ascii="仿宋_GB2312" w:hAnsi="宋体" w:eastAsia="仿宋_GB2312" w:cs="仿宋_GB2312"/>
          <w:sz w:val="32"/>
          <w:szCs w:val="32"/>
        </w:rPr>
        <w:t>培养方案</w:t>
      </w:r>
      <w:r>
        <w:rPr>
          <w:rFonts w:hint="eastAsia" w:ascii="仿宋_GB2312" w:hAnsi="宋体" w:eastAsia="仿宋_GB2312" w:cs="仿宋_GB2312"/>
          <w:sz w:val="32"/>
          <w:szCs w:val="32"/>
        </w:rPr>
        <w:t>的主要内容，包括</w:t>
      </w:r>
      <w:r>
        <w:rPr>
          <w:rFonts w:ascii="仿宋_GB2312" w:hAnsi="宋体" w:eastAsia="仿宋_GB2312" w:cs="仿宋_GB2312"/>
          <w:sz w:val="32"/>
          <w:szCs w:val="32"/>
        </w:rPr>
        <w:t>专业定位、培养目标、培养规格、专业主干</w:t>
      </w:r>
      <w:r>
        <w:rPr>
          <w:rFonts w:hint="eastAsia" w:ascii="仿宋_GB2312" w:hAnsi="宋体" w:eastAsia="仿宋_GB2312" w:cs="仿宋_GB2312"/>
          <w:sz w:val="32"/>
          <w:szCs w:val="32"/>
        </w:rPr>
        <w:t>学科</w:t>
      </w:r>
      <w:r>
        <w:rPr>
          <w:rFonts w:ascii="仿宋_GB2312" w:hAnsi="宋体" w:eastAsia="仿宋_GB2312" w:cs="仿宋_GB2312"/>
          <w:sz w:val="32"/>
          <w:szCs w:val="32"/>
        </w:rPr>
        <w:t>、专业核心课程、课程体系与学分结构、课程设置与学分（学时）分配、</w:t>
      </w:r>
      <w:r>
        <w:rPr>
          <w:rFonts w:hint="eastAsia" w:ascii="仿宋_GB2312" w:hAnsi="宋体" w:eastAsia="仿宋_GB2312" w:cs="仿宋_GB2312"/>
          <w:sz w:val="32"/>
          <w:szCs w:val="32"/>
        </w:rPr>
        <w:t>专业</w:t>
      </w:r>
      <w:r>
        <w:rPr>
          <w:rFonts w:ascii="仿宋_GB2312" w:hAnsi="宋体" w:eastAsia="仿宋_GB2312" w:cs="仿宋_GB2312"/>
          <w:sz w:val="32"/>
          <w:szCs w:val="32"/>
        </w:rPr>
        <w:t>实践教学</w:t>
      </w:r>
      <w:r>
        <w:rPr>
          <w:rFonts w:hint="eastAsia" w:ascii="仿宋_GB2312" w:hAnsi="宋体" w:eastAsia="仿宋_GB2312" w:cs="仿宋_GB2312"/>
          <w:sz w:val="32"/>
          <w:szCs w:val="32"/>
        </w:rPr>
        <w:t>体系</w:t>
      </w:r>
      <w:r>
        <w:rPr>
          <w:rFonts w:ascii="仿宋_GB2312" w:hAnsi="宋体" w:eastAsia="仿宋_GB2312" w:cs="仿宋_GB2312"/>
          <w:sz w:val="32"/>
          <w:szCs w:val="32"/>
        </w:rPr>
        <w:t>、</w:t>
      </w:r>
      <w:r>
        <w:rPr>
          <w:rFonts w:hint="eastAsia" w:ascii="仿宋_GB2312" w:hAnsi="宋体" w:eastAsia="仿宋_GB2312" w:cs="仿宋_GB2312"/>
          <w:sz w:val="32"/>
          <w:szCs w:val="32"/>
        </w:rPr>
        <w:t>创新创业教育、</w:t>
      </w:r>
      <w:r>
        <w:rPr>
          <w:rFonts w:ascii="仿宋_GB2312" w:hAnsi="宋体" w:eastAsia="仿宋_GB2312" w:cs="仿宋_GB2312"/>
          <w:sz w:val="32"/>
          <w:szCs w:val="32"/>
        </w:rPr>
        <w:t>其他说明以及附录</w:t>
      </w:r>
      <w:r>
        <w:rPr>
          <w:rFonts w:hint="eastAsia" w:ascii="仿宋_GB2312" w:hAnsi="宋体" w:eastAsia="仿宋_GB2312" w:cs="仿宋_GB2312"/>
          <w:sz w:val="32"/>
          <w:szCs w:val="32"/>
        </w:rPr>
        <w:t>等</w:t>
      </w:r>
      <w:r>
        <w:rPr>
          <w:rFonts w:ascii="仿宋_GB2312" w:hAnsi="宋体" w:eastAsia="仿宋_GB2312" w:cs="仿宋_GB2312"/>
          <w:sz w:val="32"/>
          <w:szCs w:val="32"/>
        </w:rPr>
        <w:t>。</w:t>
      </w:r>
    </w:p>
    <w:p w14:paraId="65273259">
      <w:pPr>
        <w:autoSpaceDE w:val="0"/>
        <w:autoSpaceDN w:val="0"/>
        <w:adjustRightInd w:val="0"/>
        <w:spacing w:line="600" w:lineRule="exact"/>
        <w:jc w:val="center"/>
        <w:rPr>
          <w:rFonts w:ascii="黑体" w:hAnsi="黑体" w:eastAsia="黑体" w:cs="仿宋_GB2312"/>
          <w:sz w:val="32"/>
          <w:szCs w:val="32"/>
        </w:rPr>
      </w:pPr>
      <w:r>
        <w:rPr>
          <w:rFonts w:hint="eastAsia" w:ascii="黑体" w:hAnsi="黑体" w:eastAsia="黑体" w:cs="仿宋_GB2312"/>
          <w:sz w:val="32"/>
          <w:szCs w:val="32"/>
        </w:rPr>
        <w:t>第四章 人才培养方案的执行</w:t>
      </w:r>
    </w:p>
    <w:p w14:paraId="68C844E0">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楷体_GB2312" w:hAnsi="宋体" w:eastAsia="楷体_GB2312" w:cs="仿宋_GB2312"/>
          <w:sz w:val="32"/>
          <w:szCs w:val="32"/>
        </w:rPr>
        <w:t>第十条</w:t>
      </w:r>
      <w:r>
        <w:rPr>
          <w:rFonts w:hint="eastAsia" w:ascii="仿宋_GB2312" w:hAnsi="宋体" w:eastAsia="仿宋_GB2312" w:cs="仿宋_GB2312"/>
          <w:sz w:val="32"/>
          <w:szCs w:val="32"/>
        </w:rPr>
        <w:t xml:space="preserve"> 培养方案具有权威性、严肃性和稳定性，经学校批准同意执行的培养方案，由教务处和二级学院负责组织执行，任何单位和个人不得擅自变更和拒绝执行。</w:t>
      </w:r>
    </w:p>
    <w:p w14:paraId="126E7F28">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楷体_GB2312" w:hAnsi="宋体" w:eastAsia="楷体_GB2312" w:cs="仿宋_GB2312"/>
          <w:sz w:val="32"/>
          <w:szCs w:val="32"/>
        </w:rPr>
        <w:t>第十一条</w:t>
      </w:r>
      <w:r>
        <w:rPr>
          <w:rFonts w:hint="eastAsia" w:ascii="仿宋_GB2312" w:hAnsi="宋体" w:eastAsia="仿宋_GB2312" w:cs="仿宋_GB2312"/>
          <w:sz w:val="32"/>
          <w:szCs w:val="32"/>
        </w:rPr>
        <w:t xml:space="preserve"> 执行人才培养方案的工作程序</w:t>
      </w:r>
    </w:p>
    <w:p w14:paraId="68C16608">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一）相应课程开设单位根据人才培养方案规定的课程教学任务，组织制（修）订课程教学大纲，把毕业要求逐条落实到课程教学大纲中，明确具体课程内容对毕业要求的支撑。课程教学大纲经教学单位审定后交教务处汇总备案。</w:t>
      </w:r>
    </w:p>
    <w:p w14:paraId="5FA195AB">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（二）各专业任选课原则上按培养方案中的计划开设，教务处在第9周前组织各教学单位申报下一学期的选修课（包括专业选修课和通识选修课），填写《开设选修课申请表》并报教务处。</w:t>
      </w:r>
    </w:p>
    <w:p w14:paraId="26AE05FA">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（三）教务处组织各教学单位安排教学计划，一般于该学期第11周前拟定并下达下一学期教学计划。</w:t>
      </w:r>
    </w:p>
    <w:p w14:paraId="3BCBD3C0">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（四）教务处组织各教学单位在第15周前排课，落实好下一学期教学任务。</w:t>
      </w:r>
    </w:p>
    <w:p w14:paraId="62678CCA">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楷体_GB2312" w:hAnsi="宋体" w:eastAsia="楷体_GB2312" w:cs="仿宋_GB2312"/>
          <w:sz w:val="32"/>
          <w:szCs w:val="32"/>
        </w:rPr>
        <w:t>第十二条</w:t>
      </w:r>
      <w:r>
        <w:rPr>
          <w:rFonts w:hint="eastAsia" w:ascii="仿宋_GB2312" w:hAnsi="宋体" w:eastAsia="仿宋_GB2312" w:cs="仿宋_GB2312"/>
          <w:sz w:val="32"/>
          <w:szCs w:val="32"/>
        </w:rPr>
        <w:t xml:space="preserve"> 在人才培养方案执行过程中，各教学单位必须根据教学任务落实每一门课程的教师、教学大纲、教材及必要的教学条件，安排好各教学环节，并据此进行教学管理。</w:t>
      </w:r>
    </w:p>
    <w:p w14:paraId="55D53688">
      <w:pPr>
        <w:autoSpaceDE w:val="0"/>
        <w:autoSpaceDN w:val="0"/>
        <w:adjustRightInd w:val="0"/>
        <w:spacing w:line="600" w:lineRule="exact"/>
        <w:jc w:val="center"/>
        <w:rPr>
          <w:rFonts w:ascii="黑体" w:eastAsia="黑体" w:cs="黑体"/>
          <w:kern w:val="0"/>
          <w:sz w:val="32"/>
          <w:szCs w:val="32"/>
        </w:rPr>
      </w:pPr>
      <w:r>
        <w:rPr>
          <w:rFonts w:hint="eastAsia" w:ascii="黑体" w:eastAsia="黑体" w:cs="黑体"/>
          <w:kern w:val="0"/>
          <w:sz w:val="32"/>
          <w:szCs w:val="32"/>
        </w:rPr>
        <w:t>第五章</w:t>
      </w:r>
      <w:r>
        <w:rPr>
          <w:rFonts w:ascii="黑体" w:eastAsia="黑体" w:cs="黑体"/>
          <w:kern w:val="0"/>
          <w:sz w:val="32"/>
          <w:szCs w:val="32"/>
        </w:rPr>
        <w:t xml:space="preserve"> </w:t>
      </w:r>
      <w:r>
        <w:rPr>
          <w:rFonts w:hint="eastAsia" w:ascii="黑体" w:eastAsia="黑体" w:cs="黑体"/>
          <w:kern w:val="0"/>
          <w:sz w:val="32"/>
          <w:szCs w:val="32"/>
        </w:rPr>
        <w:t>人才培养方案的调整</w:t>
      </w:r>
    </w:p>
    <w:p w14:paraId="169D4721">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楷体_GB2312" w:hAnsi="宋体" w:eastAsia="楷体_GB2312" w:cs="仿宋_GB2312"/>
          <w:sz w:val="32"/>
          <w:szCs w:val="32"/>
        </w:rPr>
        <w:t>第十三条</w:t>
      </w:r>
      <w:r>
        <w:rPr>
          <w:rFonts w:hint="eastAsia" w:ascii="仿宋_GB2312" w:hAnsi="宋体" w:eastAsia="仿宋_GB2312" w:cs="仿宋_GB2312"/>
          <w:sz w:val="32"/>
          <w:szCs w:val="32"/>
        </w:rPr>
        <w:t xml:space="preserve"> 对已经批准并正在执行的人才培养方案，新增课程、取消课程、变更课程名称、变更授课学期、更改授课学时学分、调整学时分配、变更课程结构等情况，均属变更人才培养方案。</w:t>
      </w:r>
    </w:p>
    <w:p w14:paraId="091F597A">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楷体_GB2312" w:hAnsi="宋体" w:eastAsia="楷体_GB2312" w:cs="仿宋_GB2312"/>
          <w:sz w:val="32"/>
          <w:szCs w:val="32"/>
        </w:rPr>
        <w:t>第十四条</w:t>
      </w:r>
      <w:r>
        <w:rPr>
          <w:rFonts w:hint="eastAsia" w:ascii="仿宋_GB2312" w:hAnsi="宋体" w:eastAsia="仿宋_GB2312" w:cs="仿宋_GB2312"/>
          <w:sz w:val="32"/>
          <w:szCs w:val="32"/>
        </w:rPr>
        <w:t xml:space="preserve"> 人才培养方案原则上不得随意调整，如因特殊情况确需调整的，调整程序如下：</w:t>
      </w:r>
    </w:p>
    <w:p w14:paraId="00210A2B">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（一）教学单位应在课程开课前一学期的第9周前提出书面申请，说明变更理由，并送交主管教学校长审批，审批同意后，交教务处存档和处理。</w:t>
      </w:r>
    </w:p>
    <w:p w14:paraId="0E8FD20A">
      <w:pPr>
        <w:autoSpaceDE w:val="0"/>
        <w:autoSpaceDN w:val="0"/>
        <w:adjustRightInd w:val="0"/>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（二）由专业所在二级学院将调整后的人才培养方案文本报教务处备案。</w:t>
      </w:r>
    </w:p>
    <w:p w14:paraId="5784C6E8">
      <w:pPr>
        <w:autoSpaceDE w:val="0"/>
        <w:autoSpaceDN w:val="0"/>
        <w:adjustRightInd w:val="0"/>
        <w:spacing w:line="600" w:lineRule="exact"/>
        <w:ind w:firstLine="640" w:firstLineChars="200"/>
        <w:rPr>
          <w:rFonts w:ascii="仿宋_GB2312" w:eastAsia="仿宋_GB2312" w:cs="仿宋_GB2312"/>
          <w:kern w:val="0"/>
          <w:sz w:val="32"/>
          <w:szCs w:val="32"/>
        </w:rPr>
      </w:pPr>
      <w:r>
        <w:rPr>
          <w:rFonts w:hint="eastAsia" w:ascii="楷体_GB2312" w:hAnsi="宋体" w:eastAsia="楷体_GB2312" w:cs="仿宋_GB2312"/>
          <w:sz w:val="32"/>
          <w:szCs w:val="32"/>
        </w:rPr>
        <w:t>第十五条</w:t>
      </w:r>
      <w:r>
        <w:rPr>
          <w:rFonts w:hint="eastAsia" w:ascii="仿宋_GB2312" w:hAnsi="宋体" w:eastAsia="仿宋_GB2312" w:cs="仿宋_GB2312"/>
          <w:sz w:val="32"/>
          <w:szCs w:val="32"/>
        </w:rPr>
        <w:t xml:space="preserve"> 凡未按上述规定执行而擅自更改培养方案的，均按学校有关规定处理。</w:t>
      </w:r>
    </w:p>
    <w:p w14:paraId="1BCF93EA">
      <w:pPr>
        <w:autoSpaceDE w:val="0"/>
        <w:autoSpaceDN w:val="0"/>
        <w:adjustRightInd w:val="0"/>
        <w:spacing w:line="600" w:lineRule="exact"/>
        <w:jc w:val="center"/>
        <w:rPr>
          <w:rFonts w:ascii="黑体" w:eastAsia="黑体" w:cs="黑体"/>
          <w:kern w:val="0"/>
          <w:sz w:val="32"/>
          <w:szCs w:val="32"/>
        </w:rPr>
      </w:pPr>
      <w:r>
        <w:rPr>
          <w:rFonts w:hint="eastAsia" w:ascii="黑体" w:eastAsia="黑体" w:cs="黑体"/>
          <w:kern w:val="0"/>
          <w:sz w:val="32"/>
          <w:szCs w:val="32"/>
        </w:rPr>
        <w:t>第六章</w:t>
      </w:r>
      <w:r>
        <w:rPr>
          <w:rFonts w:ascii="黑体" w:eastAsia="黑体" w:cs="黑体"/>
          <w:kern w:val="0"/>
          <w:sz w:val="32"/>
          <w:szCs w:val="32"/>
        </w:rPr>
        <w:t xml:space="preserve"> </w:t>
      </w:r>
      <w:r>
        <w:rPr>
          <w:rFonts w:hint="eastAsia" w:ascii="黑体" w:eastAsia="黑体" w:cs="黑体"/>
          <w:kern w:val="0"/>
          <w:sz w:val="32"/>
          <w:szCs w:val="32"/>
        </w:rPr>
        <w:t>附</w:t>
      </w:r>
      <w:r>
        <w:rPr>
          <w:rFonts w:ascii="黑体" w:eastAsia="黑体" w:cs="黑体"/>
          <w:kern w:val="0"/>
          <w:sz w:val="32"/>
          <w:szCs w:val="32"/>
        </w:rPr>
        <w:t xml:space="preserve"> </w:t>
      </w:r>
      <w:r>
        <w:rPr>
          <w:rFonts w:hint="eastAsia" w:ascii="黑体" w:eastAsia="黑体" w:cs="黑体"/>
          <w:kern w:val="0"/>
          <w:sz w:val="32"/>
          <w:szCs w:val="32"/>
        </w:rPr>
        <w:t>则</w:t>
      </w:r>
    </w:p>
    <w:p w14:paraId="056A457D">
      <w:pPr>
        <w:autoSpaceDE w:val="0"/>
        <w:autoSpaceDN w:val="0"/>
        <w:adjustRightInd w:val="0"/>
        <w:spacing w:line="600" w:lineRule="exact"/>
        <w:ind w:firstLine="640" w:firstLineChars="200"/>
        <w:rPr>
          <w:rFonts w:ascii="仿宋_GB2312" w:eastAsia="仿宋_GB2312" w:cs="仿宋_GB2312"/>
          <w:kern w:val="0"/>
          <w:sz w:val="32"/>
          <w:szCs w:val="32"/>
        </w:rPr>
      </w:pPr>
      <w:r>
        <w:rPr>
          <w:rFonts w:hint="eastAsia" w:ascii="楷体_GB2312" w:hAnsi="宋体" w:eastAsia="楷体_GB2312" w:cs="仿宋_GB2312"/>
          <w:sz w:val="32"/>
          <w:szCs w:val="32"/>
        </w:rPr>
        <w:t>第十六条</w:t>
      </w:r>
      <w:r>
        <w:rPr>
          <w:rFonts w:hint="eastAsia" w:ascii="仿宋_GB2312" w:hAnsi="宋体" w:eastAsia="仿宋_GB2312" w:cs="仿宋_GB2312"/>
          <w:sz w:val="32"/>
          <w:szCs w:val="32"/>
        </w:rPr>
        <w:t xml:space="preserve"> 本办法由教务处负责解释，自公布之日起施行。原《广州软件学院人才培养方案修订制度》同时废止。</w:t>
      </w:r>
    </w:p>
    <w:p w14:paraId="02DDAB63">
      <w:pPr>
        <w:widowControl/>
        <w:spacing w:line="600" w:lineRule="exact"/>
        <w:jc w:val="left"/>
        <w:rPr>
          <w:rFonts w:ascii="宋体" w:hAnsi="宋体"/>
          <w:b/>
          <w:bCs/>
          <w:sz w:val="44"/>
          <w:szCs w:val="44"/>
        </w:rPr>
      </w:pPr>
    </w:p>
    <w:p w14:paraId="6D06E683">
      <w:pPr>
        <w:autoSpaceDE w:val="0"/>
        <w:autoSpaceDN w:val="0"/>
        <w:adjustRightInd w:val="0"/>
        <w:spacing w:line="600" w:lineRule="exact"/>
        <w:jc w:val="left"/>
        <w:rPr>
          <w:rFonts w:ascii="宋体" w:hAnsi="宋体"/>
          <w:b/>
          <w:bCs/>
          <w:sz w:val="30"/>
          <w:szCs w:val="30"/>
        </w:rPr>
        <w:sectPr>
          <w:footerReference r:id="rId5" w:type="first"/>
          <w:footerReference r:id="rId3" w:type="default"/>
          <w:footerReference r:id="rId4" w:type="even"/>
          <w:pgSz w:w="11906" w:h="16838"/>
          <w:pgMar w:top="1440" w:right="1800" w:bottom="1440" w:left="1800" w:header="851" w:footer="992" w:gutter="0"/>
          <w:pgNumType w:fmt="numberInDash" w:start="2"/>
          <w:cols w:space="425" w:num="1"/>
          <w:docGrid w:type="lines" w:linePitch="312" w:charSpace="0"/>
        </w:sectPr>
      </w:pPr>
    </w:p>
    <w:p w14:paraId="0D049FFA">
      <w:pPr>
        <w:autoSpaceDE w:val="0"/>
        <w:autoSpaceDN w:val="0"/>
        <w:adjustRightInd w:val="0"/>
        <w:spacing w:line="600" w:lineRule="exact"/>
        <w:jc w:val="left"/>
        <w:rPr>
          <w:rFonts w:ascii="黑体" w:hAnsi="黑体" w:eastAsia="黑体"/>
          <w:b/>
          <w:bCs/>
          <w:sz w:val="44"/>
          <w:szCs w:val="44"/>
        </w:rPr>
      </w:pPr>
      <w:r>
        <w:rPr>
          <w:rFonts w:hint="eastAsia" w:ascii="黑体" w:hAnsi="黑体" w:eastAsia="黑体"/>
          <w:b/>
          <w:bCs/>
          <w:sz w:val="44"/>
          <w:szCs w:val="44"/>
        </w:rPr>
        <w:t>附件：</w:t>
      </w:r>
    </w:p>
    <w:p w14:paraId="0579F758">
      <w:pPr>
        <w:autoSpaceDE w:val="0"/>
        <w:autoSpaceDN w:val="0"/>
        <w:adjustRightInd w:val="0"/>
        <w:spacing w:line="600" w:lineRule="exact"/>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广州软件学院</w:t>
      </w:r>
    </w:p>
    <w:p w14:paraId="331293F2">
      <w:pPr>
        <w:autoSpaceDE w:val="0"/>
        <w:autoSpaceDN w:val="0"/>
        <w:adjustRightInd w:val="0"/>
        <w:spacing w:line="600" w:lineRule="exact"/>
        <w:jc w:val="center"/>
        <w:rPr>
          <w:rFonts w:ascii="仿宋_GB2312" w:eastAsia="仿宋_GB2312" w:cs="仿宋_GB2312"/>
          <w:b/>
          <w:bCs/>
          <w:kern w:val="0"/>
          <w:sz w:val="32"/>
          <w:szCs w:val="32"/>
        </w:rPr>
      </w:pPr>
      <w:r>
        <w:rPr>
          <w:rFonts w:ascii="方正小标宋简体" w:hAnsi="方正小标宋简体" w:eastAsia="方正小标宋简体" w:cs="方正小标宋简体"/>
          <w:b/>
          <w:bCs/>
          <w:sz w:val="44"/>
          <w:szCs w:val="44"/>
        </w:rPr>
        <w:t>人才培养方案撰写要求</w:t>
      </w:r>
    </w:p>
    <w:p w14:paraId="6AC28335">
      <w:pPr>
        <w:spacing w:line="600" w:lineRule="exact"/>
        <w:rPr>
          <w:rFonts w:ascii="Times New Roman" w:hAnsi="Times New Roman" w:eastAsia="仿宋"/>
          <w:sz w:val="24"/>
          <w:szCs w:val="24"/>
        </w:rPr>
      </w:pPr>
    </w:p>
    <w:p w14:paraId="43306876">
      <w:pPr>
        <w:adjustRightInd w:val="0"/>
        <w:snapToGrid w:val="0"/>
        <w:spacing w:line="600" w:lineRule="exact"/>
        <w:ind w:firstLine="640" w:firstLineChars="200"/>
        <w:rPr>
          <w:rFonts w:ascii="黑体" w:hAnsi="黑体" w:eastAsia="黑体"/>
          <w:sz w:val="32"/>
          <w:szCs w:val="32"/>
        </w:rPr>
      </w:pPr>
      <w:r>
        <w:rPr>
          <w:rFonts w:ascii="黑体" w:hAnsi="黑体" w:eastAsia="黑体"/>
          <w:sz w:val="32"/>
          <w:szCs w:val="32"/>
        </w:rPr>
        <w:t>一、内容要求</w:t>
      </w:r>
    </w:p>
    <w:p w14:paraId="33245966">
      <w:pPr>
        <w:spacing w:line="600" w:lineRule="exact"/>
        <w:ind w:firstLine="640" w:firstLineChars="200"/>
        <w:rPr>
          <w:rFonts w:ascii="Times New Roman" w:hAnsi="Times New Roman" w:eastAsia="仿宋"/>
          <w:sz w:val="24"/>
          <w:szCs w:val="24"/>
        </w:rPr>
      </w:pPr>
      <w:r>
        <w:rPr>
          <w:rFonts w:ascii="仿宋_GB2312" w:hAnsi="宋体" w:eastAsia="仿宋_GB2312" w:cs="仿宋_GB2312"/>
          <w:sz w:val="32"/>
          <w:szCs w:val="32"/>
        </w:rPr>
        <w:t>人才培养方案需由11部分构成，分别是：专业定位、培养目标、培养规格、专业主干</w:t>
      </w:r>
      <w:r>
        <w:rPr>
          <w:rFonts w:hint="eastAsia" w:ascii="仿宋_GB2312" w:hAnsi="宋体" w:eastAsia="仿宋_GB2312" w:cs="仿宋_GB2312"/>
          <w:sz w:val="32"/>
          <w:szCs w:val="32"/>
        </w:rPr>
        <w:t>学科</w:t>
      </w:r>
      <w:r>
        <w:rPr>
          <w:rFonts w:ascii="仿宋_GB2312" w:hAnsi="宋体" w:eastAsia="仿宋_GB2312" w:cs="仿宋_GB2312"/>
          <w:sz w:val="32"/>
          <w:szCs w:val="32"/>
        </w:rPr>
        <w:t>、专业核心课程、课程体系与学分结构、课程设置与学分（学时）分配、</w:t>
      </w:r>
      <w:r>
        <w:rPr>
          <w:rFonts w:hint="eastAsia" w:ascii="仿宋_GB2312" w:hAnsi="宋体" w:eastAsia="仿宋_GB2312" w:cs="仿宋_GB2312"/>
          <w:sz w:val="32"/>
          <w:szCs w:val="32"/>
        </w:rPr>
        <w:t>专业</w:t>
      </w:r>
      <w:r>
        <w:rPr>
          <w:rFonts w:ascii="仿宋_GB2312" w:hAnsi="宋体" w:eastAsia="仿宋_GB2312" w:cs="仿宋_GB2312"/>
          <w:sz w:val="32"/>
          <w:szCs w:val="32"/>
        </w:rPr>
        <w:t>实践教学、</w:t>
      </w:r>
      <w:r>
        <w:rPr>
          <w:rFonts w:hint="eastAsia" w:ascii="仿宋_GB2312" w:hAnsi="宋体" w:eastAsia="仿宋_GB2312" w:cs="仿宋_GB2312"/>
          <w:sz w:val="32"/>
          <w:szCs w:val="32"/>
        </w:rPr>
        <w:t>创新创业教育、</w:t>
      </w:r>
      <w:r>
        <w:rPr>
          <w:rFonts w:ascii="仿宋_GB2312" w:hAnsi="宋体" w:eastAsia="仿宋_GB2312" w:cs="仿宋_GB2312"/>
          <w:sz w:val="32"/>
          <w:szCs w:val="32"/>
        </w:rPr>
        <w:t>其他说明以及附录。各部分的内容要求如下：</w:t>
      </w:r>
    </w:p>
    <w:p w14:paraId="1486726D">
      <w:pPr>
        <w:spacing w:line="600" w:lineRule="exact"/>
        <w:ind w:firstLine="640" w:firstLineChars="200"/>
        <w:rPr>
          <w:rFonts w:ascii="Times New Roman" w:hAnsi="Times New Roman" w:eastAsia="仿宋"/>
          <w:sz w:val="24"/>
          <w:szCs w:val="24"/>
        </w:rPr>
      </w:pPr>
      <w:r>
        <w:rPr>
          <w:rFonts w:hint="eastAsia" w:ascii="楷体_GB2312" w:hAnsi="宋体" w:eastAsia="楷体_GB2312" w:cs="仿宋_GB2312"/>
          <w:sz w:val="32"/>
          <w:szCs w:val="32"/>
        </w:rPr>
        <w:t>1、</w:t>
      </w:r>
      <w:r>
        <w:rPr>
          <w:rFonts w:ascii="楷体_GB2312" w:hAnsi="宋体" w:eastAsia="楷体_GB2312" w:cs="仿宋_GB2312"/>
          <w:sz w:val="32"/>
          <w:szCs w:val="32"/>
        </w:rPr>
        <w:t>专业定位</w:t>
      </w:r>
      <w:r>
        <w:rPr>
          <w:rFonts w:ascii="Times New Roman" w:hAnsi="Times New Roman" w:eastAsia="仿宋"/>
          <w:sz w:val="24"/>
          <w:szCs w:val="24"/>
        </w:rPr>
        <w:t>：</w:t>
      </w:r>
      <w:r>
        <w:rPr>
          <w:rFonts w:ascii="仿宋_GB2312" w:hAnsi="宋体" w:eastAsia="仿宋_GB2312" w:cs="仿宋_GB2312"/>
          <w:sz w:val="32"/>
          <w:szCs w:val="32"/>
        </w:rPr>
        <w:t>按照“面向什么领域/区域</w:t>
      </w:r>
      <w:r>
        <w:rPr>
          <w:rFonts w:hint="eastAsia" w:ascii="仿宋_GB2312" w:hAnsi="宋体" w:eastAsia="仿宋_GB2312" w:cs="仿宋_GB2312"/>
          <w:sz w:val="32"/>
          <w:szCs w:val="32"/>
        </w:rPr>
        <w:t>（服务领域定位），</w:t>
      </w:r>
      <w:r>
        <w:rPr>
          <w:rFonts w:ascii="仿宋_GB2312" w:hAnsi="宋体" w:eastAsia="仿宋_GB2312" w:cs="仿宋_GB2312"/>
          <w:sz w:val="32"/>
          <w:szCs w:val="32"/>
        </w:rPr>
        <w:t>培养什么</w:t>
      </w:r>
      <w:r>
        <w:rPr>
          <w:rFonts w:hint="eastAsia" w:ascii="仿宋_GB2312" w:hAnsi="宋体" w:eastAsia="仿宋_GB2312" w:cs="仿宋_GB2312"/>
          <w:sz w:val="32"/>
          <w:szCs w:val="32"/>
        </w:rPr>
        <w:t>能力</w:t>
      </w:r>
      <w:r>
        <w:rPr>
          <w:rFonts w:ascii="仿宋_GB2312" w:hAnsi="宋体" w:eastAsia="仿宋_GB2312" w:cs="仿宋_GB2312"/>
          <w:sz w:val="32"/>
          <w:szCs w:val="32"/>
        </w:rPr>
        <w:t>，从事什么工作</w:t>
      </w:r>
      <w:r>
        <w:rPr>
          <w:rFonts w:hint="eastAsia" w:ascii="仿宋_GB2312" w:hAnsi="宋体" w:eastAsia="仿宋_GB2312" w:cs="仿宋_GB2312"/>
          <w:sz w:val="32"/>
          <w:szCs w:val="32"/>
        </w:rPr>
        <w:t>（职业特征定位）的什么人才（人才层次定位）</w:t>
      </w:r>
      <w:r>
        <w:rPr>
          <w:rFonts w:ascii="仿宋_GB2312" w:hAnsi="宋体" w:eastAsia="仿宋_GB2312" w:cs="仿宋_GB2312"/>
          <w:sz w:val="32"/>
          <w:szCs w:val="32"/>
        </w:rPr>
        <w:t>”的模式凝练总结，不超过100字。</w:t>
      </w:r>
    </w:p>
    <w:p w14:paraId="6A7099BD">
      <w:pPr>
        <w:spacing w:line="600" w:lineRule="exact"/>
        <w:ind w:firstLine="640" w:firstLineChars="200"/>
        <w:rPr>
          <w:rFonts w:ascii="仿宋_GB2312" w:eastAsia="仿宋_GB2312" w:cs="仿宋_GB2312"/>
          <w:sz w:val="32"/>
          <w:szCs w:val="32"/>
        </w:rPr>
      </w:pPr>
      <w:r>
        <w:rPr>
          <w:rFonts w:hint="eastAsia" w:ascii="楷体_GB2312" w:hAnsi="宋体" w:eastAsia="楷体_GB2312" w:cs="仿宋_GB2312"/>
          <w:sz w:val="32"/>
          <w:szCs w:val="32"/>
        </w:rPr>
        <w:t>2、培养目标</w:t>
      </w:r>
      <w:r>
        <w:rPr>
          <w:rFonts w:hint="eastAsia" w:ascii="Times New Roman" w:hAnsi="Times New Roman" w:eastAsia="仿宋"/>
          <w:sz w:val="24"/>
          <w:szCs w:val="24"/>
        </w:rPr>
        <w:t>：</w:t>
      </w:r>
      <w:r>
        <w:rPr>
          <w:rFonts w:hint="eastAsia" w:ascii="仿宋_GB2312" w:hAnsi="宋体" w:eastAsia="仿宋_GB2312" w:cs="仿宋_GB2312"/>
          <w:sz w:val="32"/>
          <w:szCs w:val="32"/>
        </w:rPr>
        <w:t>是对毕业生在毕业五年左右能够达到的职业和专业成就的总体描述。先按照“培养德、智、体、美、劳全面发展，具有什么价值观和素质，具有什么能力（专业能力、非专业能力），能从事什么工作的什么人才”</w:t>
      </w:r>
      <w:r>
        <w:rPr>
          <w:rFonts w:ascii="仿宋_GB2312" w:hAnsi="宋体" w:eastAsia="仿宋_GB2312" w:cs="仿宋_GB2312"/>
          <w:sz w:val="32"/>
          <w:szCs w:val="32"/>
        </w:rPr>
        <w:t xml:space="preserve"> 的模式</w:t>
      </w:r>
      <w:r>
        <w:rPr>
          <w:rFonts w:hint="eastAsia" w:ascii="仿宋_GB2312" w:hAnsi="宋体" w:eastAsia="仿宋_GB2312" w:cs="仿宋_GB2312"/>
          <w:sz w:val="32"/>
          <w:szCs w:val="32"/>
        </w:rPr>
        <w:t>进行总写,</w:t>
      </w:r>
      <w:r>
        <w:rPr>
          <w:rFonts w:hint="eastAsia" w:ascii="楷体" w:hAnsi="楷体" w:eastAsia="楷体" w:cstheme="minorBidi"/>
          <w:kern w:val="24"/>
          <w:sz w:val="48"/>
          <w:szCs w:val="48"/>
        </w:rPr>
        <w:t xml:space="preserve"> </w:t>
      </w:r>
      <w:r>
        <w:rPr>
          <w:rFonts w:hint="eastAsia" w:ascii="仿宋_GB2312" w:eastAsia="仿宋_GB2312" w:cs="仿宋_GB2312"/>
          <w:sz w:val="32"/>
          <w:szCs w:val="32"/>
        </w:rPr>
        <w:t>再凝练成3-6个左右的目标点（职业能力/人才特质），覆盖：毕业生职业能力的描述（专业技能、职业素养）和毕业生职业成就的预期（竞争力和职业发展）。注意用“</w:t>
      </w:r>
      <w:r>
        <w:rPr>
          <w:rFonts w:hint="eastAsia" w:ascii="仿宋_GB2312" w:eastAsia="仿宋_GB2312" w:cs="仿宋_GB2312"/>
          <w:bCs/>
          <w:sz w:val="32"/>
          <w:szCs w:val="32"/>
        </w:rPr>
        <w:t>职场语境</w:t>
      </w:r>
      <w:r>
        <w:rPr>
          <w:rFonts w:hint="eastAsia" w:ascii="仿宋_GB2312" w:eastAsia="仿宋_GB2312" w:cs="仿宋_GB2312"/>
          <w:sz w:val="32"/>
          <w:szCs w:val="32"/>
        </w:rPr>
        <w:t>”描述与目标定位相匹配的“人才特质”。</w:t>
      </w:r>
    </w:p>
    <w:p w14:paraId="34B38EA8">
      <w:pPr>
        <w:spacing w:line="600" w:lineRule="exact"/>
        <w:ind w:firstLine="640" w:firstLineChars="200"/>
        <w:rPr>
          <w:rFonts w:ascii="Times New Roman" w:hAnsi="Times New Roman" w:eastAsia="仿宋"/>
          <w:sz w:val="24"/>
          <w:szCs w:val="24"/>
        </w:rPr>
      </w:pPr>
      <w:r>
        <w:rPr>
          <w:rFonts w:hint="eastAsia" w:ascii="楷体_GB2312" w:hAnsi="宋体" w:eastAsia="楷体_GB2312" w:cs="仿宋_GB2312"/>
          <w:sz w:val="32"/>
          <w:szCs w:val="32"/>
        </w:rPr>
        <w:t>3、培养规格</w:t>
      </w:r>
      <w:r>
        <w:rPr>
          <w:rFonts w:hint="eastAsia" w:ascii="Times New Roman" w:hAnsi="Times New Roman" w:eastAsia="仿宋"/>
          <w:sz w:val="24"/>
          <w:szCs w:val="24"/>
        </w:rPr>
        <w:t>：</w:t>
      </w:r>
      <w:r>
        <w:rPr>
          <w:rFonts w:hint="eastAsia" w:ascii="仿宋_GB2312" w:hAnsi="宋体" w:eastAsia="仿宋_GB2312" w:cs="仿宋_GB2312"/>
          <w:sz w:val="32"/>
          <w:szCs w:val="32"/>
        </w:rPr>
        <w:t>包括学制、修读学分要求、授予学位和毕业要求。其中：</w:t>
      </w:r>
    </w:p>
    <w:p w14:paraId="67749C45">
      <w:pPr>
        <w:spacing w:line="600" w:lineRule="exact"/>
        <w:ind w:firstLine="643" w:firstLineChars="200"/>
        <w:rPr>
          <w:rFonts w:ascii="Times New Roman" w:hAnsi="Times New Roman" w:eastAsia="仿宋"/>
          <w:sz w:val="24"/>
          <w:szCs w:val="24"/>
        </w:rPr>
      </w:pPr>
      <w:r>
        <w:rPr>
          <w:rFonts w:hint="eastAsia" w:ascii="仿宋_GB2312" w:hAnsi="宋体" w:eastAsia="仿宋_GB2312" w:cs="仿宋_GB2312"/>
          <w:b/>
          <w:sz w:val="32"/>
          <w:szCs w:val="32"/>
        </w:rPr>
        <w:t>（1）学制：</w:t>
      </w:r>
      <w:r>
        <w:rPr>
          <w:rFonts w:hint="eastAsia" w:ascii="仿宋_GB2312" w:hAnsi="宋体" w:eastAsia="仿宋_GB2312" w:cs="仿宋_GB2312"/>
          <w:sz w:val="32"/>
          <w:szCs w:val="32"/>
        </w:rPr>
        <w:t>学制四年，修业年限为3到8年。</w:t>
      </w:r>
    </w:p>
    <w:p w14:paraId="7F9BE9B7">
      <w:pPr>
        <w:spacing w:line="600" w:lineRule="exact"/>
        <w:ind w:firstLine="643" w:firstLineChars="200"/>
        <w:rPr>
          <w:rFonts w:ascii="仿宋_GB2312" w:hAnsi="宋体" w:eastAsia="仿宋_GB2312" w:cs="仿宋_GB2312"/>
          <w:sz w:val="32"/>
          <w:szCs w:val="32"/>
        </w:rPr>
      </w:pPr>
      <w:r>
        <w:rPr>
          <w:rFonts w:hint="eastAsia" w:ascii="仿宋_GB2312" w:hAnsi="宋体" w:eastAsia="仿宋_GB2312" w:cs="仿宋_GB2312"/>
          <w:b/>
          <w:sz w:val="32"/>
          <w:szCs w:val="32"/>
        </w:rPr>
        <w:t>（2）修读学分要求：</w:t>
      </w:r>
      <w:r>
        <w:rPr>
          <w:rFonts w:hint="eastAsia" w:ascii="仿宋_GB2312" w:hAnsi="宋体" w:eastAsia="仿宋_GB2312" w:cs="仿宋_GB2312"/>
          <w:sz w:val="32"/>
          <w:szCs w:val="32"/>
        </w:rPr>
        <w:t>1</w:t>
      </w:r>
      <w:r>
        <w:rPr>
          <w:rFonts w:ascii="仿宋_GB2312" w:hAnsi="宋体" w:eastAsia="仿宋_GB2312" w:cs="仿宋_GB2312"/>
          <w:sz w:val="32"/>
          <w:szCs w:val="32"/>
        </w:rPr>
        <w:t>65</w:t>
      </w:r>
      <w:r>
        <w:rPr>
          <w:rFonts w:hint="eastAsia" w:ascii="仿宋_GB2312" w:hAnsi="宋体" w:eastAsia="仿宋_GB2312" w:cs="仿宋_GB2312"/>
          <w:sz w:val="32"/>
          <w:szCs w:val="32"/>
        </w:rPr>
        <w:t>学分至1</w:t>
      </w:r>
      <w:r>
        <w:rPr>
          <w:rFonts w:ascii="仿宋_GB2312" w:hAnsi="宋体" w:eastAsia="仿宋_GB2312" w:cs="仿宋_GB2312"/>
          <w:sz w:val="32"/>
          <w:szCs w:val="32"/>
        </w:rPr>
        <w:t>70</w:t>
      </w:r>
      <w:r>
        <w:rPr>
          <w:rFonts w:hint="eastAsia" w:ascii="仿宋_GB2312" w:hAnsi="宋体" w:eastAsia="仿宋_GB2312" w:cs="仿宋_GB2312"/>
          <w:sz w:val="32"/>
          <w:szCs w:val="32"/>
        </w:rPr>
        <w:t>学分，根据实际情况填写。</w:t>
      </w:r>
    </w:p>
    <w:p w14:paraId="1B620BD7">
      <w:pPr>
        <w:spacing w:line="600" w:lineRule="exact"/>
        <w:ind w:firstLine="643" w:firstLineChars="200"/>
        <w:rPr>
          <w:rFonts w:ascii="Times New Roman" w:hAnsi="Times New Roman" w:eastAsia="仿宋"/>
          <w:sz w:val="24"/>
          <w:szCs w:val="24"/>
        </w:rPr>
      </w:pPr>
      <w:r>
        <w:rPr>
          <w:rFonts w:hint="eastAsia" w:ascii="仿宋_GB2312" w:hAnsi="宋体" w:eastAsia="仿宋_GB2312" w:cs="仿宋_GB2312"/>
          <w:b/>
          <w:sz w:val="32"/>
          <w:szCs w:val="32"/>
        </w:rPr>
        <w:t>（3）授予学位：</w:t>
      </w:r>
      <w:r>
        <w:rPr>
          <w:rFonts w:hint="eastAsia" w:ascii="仿宋_GB2312" w:hAnsi="宋体" w:eastAsia="仿宋_GB2312" w:cs="仿宋_GB2312"/>
          <w:sz w:val="32"/>
          <w:szCs w:val="32"/>
        </w:rPr>
        <w:t>根据专业授予学位的实际情况填写。</w:t>
      </w:r>
    </w:p>
    <w:p w14:paraId="2802E4FD">
      <w:pPr>
        <w:ind w:firstLine="643" w:firstLineChars="200"/>
        <w:rPr>
          <w:rFonts w:ascii="仿宋_GB2312" w:eastAsia="仿宋_GB2312" w:cs="仿宋_GB2312"/>
          <w:sz w:val="32"/>
          <w:szCs w:val="32"/>
        </w:rPr>
      </w:pPr>
      <w:r>
        <w:rPr>
          <w:rFonts w:hint="eastAsia" w:ascii="仿宋_GB2312" w:hAnsi="宋体" w:eastAsia="仿宋_GB2312" w:cs="仿宋_GB2312"/>
          <w:b/>
          <w:sz w:val="32"/>
          <w:szCs w:val="32"/>
        </w:rPr>
        <w:t>（4）毕业要求：</w:t>
      </w:r>
      <w:r>
        <w:rPr>
          <w:rFonts w:hint="eastAsia" w:ascii="仿宋_GB2312" w:eastAsia="仿宋_GB2312" w:cs="仿宋_GB2312"/>
          <w:sz w:val="32"/>
          <w:szCs w:val="32"/>
        </w:rPr>
        <w:t>毕业要求（或毕业生能力）是对学生毕业时所应该掌握的知识和能力的具体描述，包括学生通过本专业学习所掌握的知识、能力和素质（价值），是学生完成学业时应该取得的学习成果。</w:t>
      </w:r>
    </w:p>
    <w:p w14:paraId="1B6D0269">
      <w:pPr>
        <w:spacing w:line="60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两种写法，根据专业特点选其一。工科专业，按照工程教育认证要求的1</w:t>
      </w:r>
      <w:r>
        <w:rPr>
          <w:rFonts w:ascii="仿宋_GB2312" w:hAnsi="宋体" w:eastAsia="仿宋_GB2312" w:cs="仿宋_GB2312"/>
          <w:sz w:val="32"/>
          <w:szCs w:val="32"/>
        </w:rPr>
        <w:t>2</w:t>
      </w:r>
      <w:r>
        <w:rPr>
          <w:rFonts w:hint="eastAsia" w:ascii="仿宋_GB2312" w:hAnsi="宋体" w:eastAsia="仿宋_GB2312" w:cs="仿宋_GB2312"/>
          <w:sz w:val="32"/>
          <w:szCs w:val="32"/>
        </w:rPr>
        <w:t>个方面描述，分别为工程知识、问题分析、设计</w:t>
      </w:r>
      <w:r>
        <w:rPr>
          <w:rFonts w:ascii="仿宋_GB2312" w:hAnsi="宋体" w:eastAsia="仿宋_GB2312" w:cs="仿宋_GB2312"/>
          <w:sz w:val="32"/>
          <w:szCs w:val="32"/>
        </w:rPr>
        <w:t>/开发解决方案、研究、使用现代工具、工程与社会、环境和可持续发展、职业规范、个人和团队、沟通、项目管理</w:t>
      </w:r>
      <w:r>
        <w:rPr>
          <w:rFonts w:hint="eastAsia" w:ascii="仿宋_GB2312" w:hAnsi="宋体" w:eastAsia="仿宋_GB2312" w:cs="仿宋_GB2312"/>
          <w:sz w:val="32"/>
          <w:szCs w:val="32"/>
        </w:rPr>
        <w:t>和</w:t>
      </w:r>
      <w:r>
        <w:rPr>
          <w:rFonts w:ascii="仿宋_GB2312" w:hAnsi="宋体" w:eastAsia="仿宋_GB2312" w:cs="仿宋_GB2312"/>
          <w:sz w:val="32"/>
          <w:szCs w:val="32"/>
        </w:rPr>
        <w:t>终身学习</w:t>
      </w:r>
      <w:r>
        <w:rPr>
          <w:rFonts w:hint="eastAsia" w:ascii="仿宋_GB2312" w:hAnsi="宋体" w:eastAsia="仿宋_GB2312" w:cs="仿宋_GB2312"/>
          <w:sz w:val="32"/>
          <w:szCs w:val="32"/>
        </w:rPr>
        <w:t>，每个方面分解具体的指标点。非工科专业,从知识要求、能力要求和素质要求三个方面描述，每个方面分解具体的指标点。</w:t>
      </w:r>
    </w:p>
    <w:p w14:paraId="0B74970D">
      <w:pPr>
        <w:spacing w:line="600" w:lineRule="exact"/>
        <w:ind w:firstLine="640" w:firstLineChars="200"/>
        <w:rPr>
          <w:rFonts w:ascii="Times New Roman" w:hAnsi="Times New Roman" w:eastAsia="仿宋"/>
        </w:rPr>
      </w:pPr>
      <w:r>
        <w:rPr>
          <w:rFonts w:hint="eastAsia" w:ascii="仿宋_GB2312" w:hAnsi="宋体" w:eastAsia="仿宋_GB2312" w:cs="仿宋_GB2312"/>
          <w:sz w:val="32"/>
          <w:szCs w:val="32"/>
        </w:rPr>
        <w:t>指标点分解的四个关键词（要求）：（1）动词引导：用不同的行为动词精准表达某种能力的特征和程度差异，既不能低于《国标》规定的要求，也不能高于培养目标。（2）可衡量：毕业要求必须明确，能支撑培养目标的达成。（3）有逻辑：要能体现能力达成的内在逻辑关系。（4）专业特色：具有特殊性、指向性。</w:t>
      </w:r>
    </w:p>
    <w:p w14:paraId="40023EAD">
      <w:pPr>
        <w:spacing w:line="600" w:lineRule="exact"/>
        <w:ind w:firstLine="640" w:firstLineChars="200"/>
        <w:rPr>
          <w:rFonts w:ascii="Times New Roman" w:hAnsi="Times New Roman" w:eastAsia="仿宋"/>
          <w:sz w:val="24"/>
          <w:szCs w:val="24"/>
        </w:rPr>
      </w:pPr>
      <w:r>
        <w:rPr>
          <w:rFonts w:hint="eastAsia" w:ascii="楷体_GB2312" w:hAnsi="宋体" w:eastAsia="楷体_GB2312" w:cs="仿宋_GB2312"/>
          <w:sz w:val="32"/>
          <w:szCs w:val="32"/>
        </w:rPr>
        <w:t>4、专业主干学科</w:t>
      </w:r>
      <w:r>
        <w:rPr>
          <w:rFonts w:hint="eastAsia" w:ascii="Times New Roman" w:hAnsi="Times New Roman" w:eastAsia="仿宋"/>
          <w:sz w:val="24"/>
          <w:szCs w:val="24"/>
        </w:rPr>
        <w:t>：</w:t>
      </w:r>
      <w:r>
        <w:rPr>
          <w:rFonts w:hint="eastAsia" w:ascii="仿宋_GB2312" w:hAnsi="宋体" w:eastAsia="仿宋_GB2312" w:cs="仿宋_GB2312"/>
          <w:sz w:val="32"/>
          <w:szCs w:val="32"/>
        </w:rPr>
        <w:t>学科指的是具有系统、完整、独立的概念和理论体系的科学，有一级、二级学科等之分。主干学科是指专业的教学计划中（也就是在该专业对学生的培养过程中），起主导骨干作用的、具有学科性的一组主要课程所属的学科。一个专业一般为</w:t>
      </w:r>
      <w:r>
        <w:rPr>
          <w:rFonts w:ascii="仿宋_GB2312" w:hAnsi="宋体" w:eastAsia="仿宋_GB2312" w:cs="仿宋_GB2312"/>
          <w:sz w:val="32"/>
          <w:szCs w:val="32"/>
        </w:rPr>
        <w:t>1个</w:t>
      </w:r>
      <w:r>
        <w:rPr>
          <w:rFonts w:hint="eastAsia" w:ascii="仿宋_GB2312" w:hAnsi="宋体" w:eastAsia="仿宋_GB2312" w:cs="仿宋_GB2312"/>
          <w:sz w:val="32"/>
          <w:szCs w:val="32"/>
        </w:rPr>
        <w:t>主干学科</w:t>
      </w:r>
      <w:r>
        <w:rPr>
          <w:rFonts w:ascii="仿宋_GB2312" w:hAnsi="宋体" w:eastAsia="仿宋_GB2312" w:cs="仿宋_GB2312"/>
          <w:sz w:val="32"/>
          <w:szCs w:val="32"/>
        </w:rPr>
        <w:t>，也可以有2个或以上，但不宜过多。</w:t>
      </w:r>
    </w:p>
    <w:p w14:paraId="312B4618">
      <w:pPr>
        <w:spacing w:line="600" w:lineRule="exact"/>
        <w:ind w:firstLine="640" w:firstLineChars="200"/>
        <w:rPr>
          <w:rFonts w:ascii="仿宋_GB2312" w:hAnsi="宋体" w:eastAsia="仿宋_GB2312" w:cs="仿宋_GB2312"/>
          <w:sz w:val="32"/>
          <w:szCs w:val="32"/>
        </w:rPr>
      </w:pPr>
      <w:r>
        <w:rPr>
          <w:rFonts w:ascii="楷体_GB2312" w:hAnsi="宋体" w:eastAsia="楷体_GB2312" w:cs="仿宋_GB2312"/>
          <w:sz w:val="32"/>
          <w:szCs w:val="32"/>
        </w:rPr>
        <w:t>5</w:t>
      </w:r>
      <w:r>
        <w:rPr>
          <w:rFonts w:hint="eastAsia" w:ascii="楷体_GB2312" w:hAnsi="宋体" w:eastAsia="楷体_GB2312" w:cs="仿宋_GB2312"/>
          <w:sz w:val="32"/>
          <w:szCs w:val="32"/>
        </w:rPr>
        <w:t>、专业核心课程</w:t>
      </w:r>
      <w:r>
        <w:rPr>
          <w:rFonts w:hint="eastAsia" w:ascii="Times New Roman" w:hAnsi="Times New Roman" w:eastAsia="仿宋"/>
          <w:sz w:val="24"/>
          <w:szCs w:val="24"/>
        </w:rPr>
        <w:t>：</w:t>
      </w:r>
      <w:r>
        <w:rPr>
          <w:rFonts w:hint="eastAsia" w:ascii="仿宋_GB2312" w:hAnsi="宋体" w:eastAsia="仿宋_GB2312" w:cs="仿宋_GB2312"/>
          <w:sz w:val="32"/>
          <w:szCs w:val="32"/>
        </w:rPr>
        <w:t>课程体系中起主导骨干作用、具有学科性的一组课程。大约1</w:t>
      </w:r>
      <w:r>
        <w:rPr>
          <w:rFonts w:ascii="仿宋_GB2312" w:hAnsi="宋体" w:eastAsia="仿宋_GB2312" w:cs="仿宋_GB2312"/>
          <w:sz w:val="32"/>
          <w:szCs w:val="32"/>
        </w:rPr>
        <w:t>0</w:t>
      </w:r>
      <w:r>
        <w:rPr>
          <w:rFonts w:hint="eastAsia" w:ascii="仿宋_GB2312" w:hAnsi="宋体" w:eastAsia="仿宋_GB2312" w:cs="仿宋_GB2312"/>
          <w:sz w:val="32"/>
          <w:szCs w:val="32"/>
        </w:rPr>
        <w:t>门左右。</w:t>
      </w:r>
    </w:p>
    <w:p w14:paraId="642CD8FD">
      <w:pPr>
        <w:spacing w:line="600" w:lineRule="exact"/>
        <w:ind w:firstLine="640" w:firstLineChars="200"/>
        <w:rPr>
          <w:rFonts w:ascii="Times New Roman" w:hAnsi="Times New Roman" w:eastAsia="仿宋"/>
          <w:sz w:val="24"/>
          <w:szCs w:val="24"/>
        </w:rPr>
      </w:pPr>
      <w:r>
        <w:rPr>
          <w:rFonts w:hint="eastAsia" w:ascii="楷体_GB2312" w:hAnsi="宋体" w:eastAsia="楷体_GB2312" w:cs="仿宋_GB2312"/>
          <w:sz w:val="32"/>
          <w:szCs w:val="32"/>
        </w:rPr>
        <w:t>6、课程体系与学分结构</w:t>
      </w:r>
      <w:r>
        <w:rPr>
          <w:rFonts w:hint="eastAsia" w:ascii="Times New Roman" w:hAnsi="Times New Roman" w:eastAsia="仿宋"/>
          <w:sz w:val="24"/>
          <w:szCs w:val="24"/>
        </w:rPr>
        <w:t>：</w:t>
      </w:r>
      <w:r>
        <w:rPr>
          <w:rFonts w:hint="eastAsia" w:ascii="仿宋_GB2312" w:hAnsi="宋体" w:eastAsia="仿宋_GB2312" w:cs="仿宋_GB2312"/>
          <w:sz w:val="32"/>
          <w:szCs w:val="32"/>
        </w:rPr>
        <w:t>课程设置能支持毕业要求的达成，即整个课程体系能够覆盖全部毕业要求，每门课程能够实现其在课程体系中的作用。课程分为公共必修课、专业必修课、专业限选课、通识限选课、任选课、毕业实习和毕业设计（论文）。其中：</w:t>
      </w:r>
    </w:p>
    <w:p w14:paraId="278D4CAF">
      <w:pPr>
        <w:spacing w:line="600" w:lineRule="exact"/>
        <w:ind w:firstLine="643" w:firstLineChars="200"/>
        <w:rPr>
          <w:rFonts w:ascii="Times New Roman" w:hAnsi="Times New Roman" w:eastAsia="仿宋"/>
          <w:sz w:val="24"/>
          <w:szCs w:val="24"/>
        </w:rPr>
      </w:pPr>
      <w:r>
        <w:rPr>
          <w:rFonts w:hint="eastAsia" w:ascii="仿宋_GB2312" w:hAnsi="宋体" w:eastAsia="仿宋_GB2312" w:cs="仿宋_GB2312"/>
          <w:b/>
          <w:sz w:val="32"/>
          <w:szCs w:val="32"/>
        </w:rPr>
        <w:t>（1）公共必修课：</w:t>
      </w:r>
      <w:r>
        <w:rPr>
          <w:rFonts w:ascii="仿宋_GB2312" w:hAnsi="宋体" w:eastAsia="仿宋_GB2312" w:cs="仿宋_GB2312"/>
          <w:sz w:val="32"/>
          <w:szCs w:val="32"/>
        </w:rPr>
        <w:t>包含思政、英语、体育、劳动和创新创业等课程</w:t>
      </w:r>
      <w:r>
        <w:rPr>
          <w:rFonts w:hint="eastAsia" w:ascii="仿宋_GB2312" w:hAnsi="宋体" w:eastAsia="仿宋_GB2312" w:cs="仿宋_GB2312"/>
          <w:sz w:val="32"/>
          <w:szCs w:val="32"/>
        </w:rPr>
        <w:t>。具体按照教务处当年下发的《广州软件学院关于修订本科专业人才培养方案的指导意见》执行。</w:t>
      </w:r>
    </w:p>
    <w:p w14:paraId="72C3A931">
      <w:pPr>
        <w:spacing w:line="600" w:lineRule="exact"/>
        <w:ind w:firstLine="643" w:firstLineChars="200"/>
        <w:rPr>
          <w:rFonts w:ascii="Times New Roman" w:hAnsi="Times New Roman" w:eastAsia="仿宋"/>
          <w:sz w:val="24"/>
          <w:szCs w:val="24"/>
        </w:rPr>
      </w:pPr>
      <w:r>
        <w:rPr>
          <w:rFonts w:hint="eastAsia" w:ascii="仿宋_GB2312" w:hAnsi="宋体" w:eastAsia="仿宋_GB2312" w:cs="仿宋_GB2312"/>
          <w:b/>
          <w:sz w:val="32"/>
          <w:szCs w:val="32"/>
        </w:rPr>
        <w:t>（2）专业必修课：</w:t>
      </w:r>
      <w:r>
        <w:rPr>
          <w:rFonts w:ascii="仿宋_GB2312" w:hAnsi="宋体" w:eastAsia="仿宋_GB2312" w:cs="仿宋_GB2312"/>
          <w:sz w:val="32"/>
          <w:szCs w:val="32"/>
        </w:rPr>
        <w:t>包含数学和自然科学类、专业基础和专业类课程。</w:t>
      </w:r>
      <w:r>
        <w:rPr>
          <w:rFonts w:hint="eastAsia" w:ascii="仿宋_GB2312" w:hAnsi="宋体" w:eastAsia="仿宋_GB2312" w:cs="仿宋_GB2312"/>
          <w:sz w:val="32"/>
          <w:szCs w:val="32"/>
        </w:rPr>
        <w:t>注意课程名的规范性。</w:t>
      </w:r>
    </w:p>
    <w:p w14:paraId="573EB1EA">
      <w:pPr>
        <w:spacing w:line="600" w:lineRule="exact"/>
        <w:ind w:firstLine="643" w:firstLineChars="200"/>
        <w:rPr>
          <w:rFonts w:ascii="Times New Roman" w:hAnsi="Times New Roman" w:eastAsia="仿宋"/>
          <w:sz w:val="24"/>
          <w:szCs w:val="24"/>
        </w:rPr>
      </w:pPr>
      <w:r>
        <w:rPr>
          <w:rFonts w:hint="eastAsia" w:ascii="仿宋_GB2312" w:hAnsi="宋体" w:eastAsia="仿宋_GB2312" w:cs="仿宋_GB2312"/>
          <w:b/>
          <w:sz w:val="32"/>
          <w:szCs w:val="32"/>
        </w:rPr>
        <w:t>（3）专业限选课：</w:t>
      </w:r>
      <w:r>
        <w:rPr>
          <w:rFonts w:ascii="仿宋_GB2312" w:hAnsi="宋体" w:eastAsia="仿宋_GB2312" w:cs="仿宋_GB2312"/>
          <w:sz w:val="32"/>
          <w:szCs w:val="32"/>
        </w:rPr>
        <w:t>包含以一个或多个不同的专业应用点而构建的一个或多个课程群。</w:t>
      </w:r>
      <w:r>
        <w:rPr>
          <w:rFonts w:hint="eastAsia" w:ascii="仿宋_GB2312" w:hAnsi="宋体" w:eastAsia="仿宋_GB2312" w:cs="仿宋_GB2312"/>
          <w:sz w:val="32"/>
          <w:szCs w:val="32"/>
        </w:rPr>
        <w:t>注意课程名的规范性。</w:t>
      </w:r>
    </w:p>
    <w:p w14:paraId="1B3C3441">
      <w:pPr>
        <w:spacing w:line="600" w:lineRule="exact"/>
        <w:ind w:firstLine="643" w:firstLineChars="200"/>
        <w:rPr>
          <w:rFonts w:ascii="Times New Roman" w:hAnsi="Times New Roman" w:eastAsia="仿宋"/>
          <w:sz w:val="24"/>
          <w:szCs w:val="24"/>
        </w:rPr>
      </w:pPr>
      <w:r>
        <w:rPr>
          <w:rFonts w:hint="eastAsia" w:ascii="仿宋_GB2312" w:hAnsi="宋体" w:eastAsia="仿宋_GB2312" w:cs="仿宋_GB2312"/>
          <w:b/>
          <w:sz w:val="32"/>
          <w:szCs w:val="32"/>
        </w:rPr>
        <w:t>（4）通识限选课：</w:t>
      </w:r>
      <w:r>
        <w:rPr>
          <w:rFonts w:hint="eastAsia" w:ascii="仿宋_GB2312" w:hAnsi="宋体" w:eastAsia="仿宋_GB2312" w:cs="仿宋_GB2312"/>
          <w:sz w:val="32"/>
          <w:szCs w:val="32"/>
        </w:rPr>
        <w:t>要求为3个学分，即2个学分的艺术类课程以及1个学分的“‘五史’教育”课程。</w:t>
      </w:r>
    </w:p>
    <w:p w14:paraId="6FAD57B5">
      <w:pPr>
        <w:spacing w:line="600" w:lineRule="exact"/>
        <w:ind w:firstLine="643" w:firstLineChars="200"/>
        <w:rPr>
          <w:rFonts w:ascii="Times New Roman" w:hAnsi="Times New Roman" w:eastAsia="仿宋"/>
          <w:sz w:val="24"/>
          <w:szCs w:val="24"/>
        </w:rPr>
      </w:pPr>
      <w:r>
        <w:rPr>
          <w:rFonts w:hint="eastAsia" w:ascii="仿宋_GB2312" w:hAnsi="宋体" w:eastAsia="仿宋_GB2312" w:cs="仿宋_GB2312"/>
          <w:b/>
          <w:sz w:val="32"/>
          <w:szCs w:val="32"/>
        </w:rPr>
        <w:t>（5）任选课：</w:t>
      </w:r>
      <w:r>
        <w:rPr>
          <w:rFonts w:hint="eastAsia" w:ascii="仿宋_GB2312" w:hAnsi="宋体" w:eastAsia="仿宋_GB2312" w:cs="仿宋_GB2312"/>
          <w:sz w:val="32"/>
          <w:szCs w:val="32"/>
        </w:rPr>
        <w:t>包含素质和能力拓展类课程。注意任选课学分的填写，要和必修课、限选课的学分累加刚好为修读学分要求的1</w:t>
      </w:r>
      <w:r>
        <w:rPr>
          <w:rFonts w:ascii="仿宋_GB2312" w:hAnsi="宋体" w:eastAsia="仿宋_GB2312" w:cs="仿宋_GB2312"/>
          <w:sz w:val="32"/>
          <w:szCs w:val="32"/>
        </w:rPr>
        <w:t>65</w:t>
      </w:r>
      <w:r>
        <w:rPr>
          <w:rFonts w:hint="eastAsia" w:ascii="仿宋_GB2312" w:hAnsi="宋体" w:eastAsia="仿宋_GB2312" w:cs="仿宋_GB2312"/>
          <w:sz w:val="32"/>
          <w:szCs w:val="32"/>
        </w:rPr>
        <w:t>至1</w:t>
      </w:r>
      <w:r>
        <w:rPr>
          <w:rFonts w:ascii="仿宋_GB2312" w:hAnsi="宋体" w:eastAsia="仿宋_GB2312" w:cs="仿宋_GB2312"/>
          <w:sz w:val="32"/>
          <w:szCs w:val="32"/>
        </w:rPr>
        <w:t>70</w:t>
      </w:r>
      <w:r>
        <w:rPr>
          <w:rFonts w:hint="eastAsia" w:ascii="仿宋_GB2312" w:hAnsi="宋体" w:eastAsia="仿宋_GB2312" w:cs="仿宋_GB2312"/>
          <w:sz w:val="32"/>
          <w:szCs w:val="32"/>
        </w:rPr>
        <w:t>分。</w:t>
      </w:r>
    </w:p>
    <w:p w14:paraId="680AC080">
      <w:pPr>
        <w:spacing w:line="600" w:lineRule="exact"/>
        <w:ind w:firstLine="640" w:firstLineChars="200"/>
        <w:rPr>
          <w:rFonts w:ascii="Times New Roman" w:hAnsi="Times New Roman" w:eastAsia="仿宋"/>
          <w:sz w:val="24"/>
          <w:szCs w:val="24"/>
        </w:rPr>
      </w:pPr>
      <w:r>
        <w:rPr>
          <w:rFonts w:hint="eastAsia" w:ascii="楷体_GB2312" w:hAnsi="宋体" w:eastAsia="楷体_GB2312" w:cs="仿宋_GB2312"/>
          <w:sz w:val="32"/>
          <w:szCs w:val="32"/>
        </w:rPr>
        <w:t>7、课程设置与学分（学时）分配：</w:t>
      </w:r>
      <w:r>
        <w:rPr>
          <w:rFonts w:hint="eastAsia" w:ascii="仿宋_GB2312" w:hAnsi="宋体" w:eastAsia="仿宋_GB2312" w:cs="仿宋_GB2312"/>
          <w:sz w:val="32"/>
          <w:szCs w:val="32"/>
        </w:rPr>
        <w:t>按照公共必修课、专业必修课、通识限选课、专业限选课、任选课、其它实践教学安排进行填写，课程名称不能使用简称，并需要写英文课程名。其中：必修课的课程学分累计应与“课程体系与学分结构”表中的学分数一致；限选课和任选课的课程学分累计不少于（可超过，但不宜过多）“课程体系与学分结构”表中的学分数。</w:t>
      </w:r>
    </w:p>
    <w:p w14:paraId="7F87D12D">
      <w:pPr>
        <w:spacing w:line="600" w:lineRule="exact"/>
        <w:ind w:firstLine="640" w:firstLineChars="200"/>
        <w:rPr>
          <w:rFonts w:ascii="Times New Roman" w:hAnsi="Times New Roman" w:eastAsia="仿宋"/>
          <w:sz w:val="24"/>
          <w:szCs w:val="24"/>
        </w:rPr>
      </w:pPr>
      <w:r>
        <w:rPr>
          <w:rFonts w:ascii="楷体_GB2312" w:hAnsi="宋体" w:eastAsia="楷体_GB2312" w:cs="仿宋_GB2312"/>
          <w:sz w:val="32"/>
          <w:szCs w:val="32"/>
        </w:rPr>
        <w:t>8</w:t>
      </w:r>
      <w:r>
        <w:rPr>
          <w:rFonts w:hint="eastAsia" w:ascii="楷体_GB2312" w:hAnsi="宋体" w:eastAsia="楷体_GB2312" w:cs="仿宋_GB2312"/>
          <w:sz w:val="32"/>
          <w:szCs w:val="32"/>
        </w:rPr>
        <w:t>、专业实践教学体系：</w:t>
      </w:r>
      <w:r>
        <w:rPr>
          <w:rFonts w:hint="eastAsia" w:ascii="仿宋_GB2312" w:hAnsi="宋体" w:eastAsia="仿宋_GB2312" w:cs="仿宋_GB2312"/>
          <w:sz w:val="32"/>
          <w:szCs w:val="32"/>
        </w:rPr>
        <w:t>每个专业应该有完整的实践教学体系以及实施思路，包含专业实践教学目标,</w:t>
      </w:r>
      <w:r>
        <w:rPr>
          <w:rFonts w:hint="eastAsia" w:ascii="仿宋_GB2312" w:hAnsi="宋体" w:eastAsia="仿宋_GB2312" w:cs="仿宋_GB2312"/>
          <w:b w:val="0"/>
          <w:bCs/>
          <w:sz w:val="32"/>
          <w:szCs w:val="32"/>
        </w:rPr>
        <w:t>专业能力与实践内容（项目）的支撑关系,设计性、综合性和创新性专业实验（实训）安排, 专业实践教学实施要求。</w:t>
      </w:r>
      <w:r>
        <w:rPr>
          <w:rFonts w:hint="eastAsia" w:ascii="仿宋_GB2312" w:hAnsi="宋体" w:eastAsia="仿宋_GB2312" w:cs="仿宋_GB2312"/>
          <w:sz w:val="32"/>
          <w:szCs w:val="32"/>
        </w:rPr>
        <w:t>其中：</w:t>
      </w:r>
    </w:p>
    <w:p w14:paraId="1870B405">
      <w:pPr>
        <w:ind w:firstLine="643" w:firstLineChars="200"/>
        <w:rPr>
          <w:rFonts w:ascii="Times New Roman" w:hAnsi="Times New Roman" w:eastAsia="仿宋"/>
          <w:sz w:val="24"/>
          <w:szCs w:val="24"/>
        </w:rPr>
      </w:pPr>
      <w:r>
        <w:rPr>
          <w:rFonts w:hint="eastAsia" w:ascii="仿宋_GB2312" w:hAnsi="宋体" w:eastAsia="仿宋_GB2312" w:cs="仿宋_GB2312"/>
          <w:b/>
          <w:sz w:val="32"/>
          <w:szCs w:val="32"/>
        </w:rPr>
        <w:t>（1）专业实践教学目标：</w:t>
      </w:r>
      <w:r>
        <w:rPr>
          <w:rFonts w:hint="eastAsia" w:ascii="仿宋_GB2312" w:hAnsi="宋体" w:eastAsia="仿宋_GB2312" w:cs="仿宋_GB2312"/>
          <w:sz w:val="32"/>
          <w:szCs w:val="32"/>
        </w:rPr>
        <w:t>依据专业人才培养目标或毕业要求，准确归纳出本专业通过实践教学培养学生的3-5个主要专业能力（不包括非技术能力）。</w:t>
      </w:r>
    </w:p>
    <w:p w14:paraId="36B6E348">
      <w:pPr>
        <w:spacing w:line="580" w:lineRule="exact"/>
        <w:ind w:firstLine="643" w:firstLineChars="200"/>
        <w:rPr>
          <w:rFonts w:ascii="Times New Roman" w:hAnsi="Times New Roman" w:eastAsia="仿宋"/>
          <w:sz w:val="24"/>
          <w:szCs w:val="24"/>
        </w:rPr>
      </w:pPr>
      <w:r>
        <w:rPr>
          <w:rFonts w:hint="eastAsia" w:ascii="仿宋_GB2312" w:hAnsi="宋体" w:eastAsia="仿宋_GB2312" w:cs="仿宋_GB2312"/>
          <w:b/>
          <w:sz w:val="32"/>
          <w:szCs w:val="32"/>
        </w:rPr>
        <w:t>（2）专业能力与实践内容（项目）的支撑关系：</w:t>
      </w:r>
      <w:r>
        <w:rPr>
          <w:rFonts w:hint="eastAsia" w:ascii="仿宋_GB2312" w:hAnsi="宋体" w:eastAsia="仿宋_GB2312"/>
          <w:sz w:val="32"/>
          <w:szCs w:val="32"/>
        </w:rPr>
        <w:t>专业实践教学内容是指专业理论课程的课内实践内容，及独立设置的实践课程的内容。根据专业实践内容（项目）的目的及难易程度，将专业实践分为四个层次，即认知层实践、体验层实践、专业应用层实践和综合创新层实践</w:t>
      </w:r>
      <w:r>
        <w:rPr>
          <w:rFonts w:hint="eastAsia" w:ascii="Times New Roman" w:hAnsi="Times New Roman" w:eastAsia="仿宋"/>
          <w:sz w:val="24"/>
          <w:szCs w:val="24"/>
        </w:rPr>
        <w:t>。</w:t>
      </w:r>
      <w:r>
        <w:rPr>
          <w:rFonts w:hint="eastAsia" w:ascii="仿宋_GB2312" w:hAnsi="宋体" w:eastAsia="仿宋_GB2312"/>
          <w:sz w:val="32"/>
          <w:szCs w:val="32"/>
        </w:rPr>
        <w:t>总体要求：每个专业能力都必须有对应的专业实践内容（项目）来支撑；每个专业能力对应的专业实践内容要由易而难，具有层次感，至少具有1个综合实践；每个专业能力对应的专业实践内容要有一定体量，支撑各专业能力的实践内容体量要相当；部分专业实践内容可以支撑多个专业能力。</w:t>
      </w:r>
    </w:p>
    <w:p w14:paraId="213A153A">
      <w:pPr>
        <w:spacing w:line="600" w:lineRule="exact"/>
        <w:ind w:firstLine="643" w:firstLineChars="200"/>
        <w:rPr>
          <w:rFonts w:ascii="仿宋_GB2312" w:hAnsi="宋体" w:eastAsia="仿宋_GB2312" w:cs="仿宋_GB2312"/>
          <w:sz w:val="32"/>
          <w:szCs w:val="32"/>
        </w:rPr>
      </w:pPr>
      <w:r>
        <w:rPr>
          <w:rFonts w:hint="eastAsia" w:ascii="仿宋_GB2312" w:hAnsi="宋体" w:eastAsia="仿宋_GB2312" w:cs="仿宋_GB2312"/>
          <w:b/>
          <w:sz w:val="32"/>
          <w:szCs w:val="32"/>
        </w:rPr>
        <w:t>（3）设计性、综合性和创新性专业实验（实训）安排：</w:t>
      </w:r>
      <w:r>
        <w:rPr>
          <w:rFonts w:hint="eastAsia" w:ascii="仿宋_GB2312" w:hAnsi="宋体" w:eastAsia="仿宋_GB2312" w:cs="仿宋_GB2312"/>
          <w:sz w:val="32"/>
          <w:szCs w:val="32"/>
        </w:rPr>
        <w:t>设计性实验是指给定实验目的要求和实验条件，由学生自行设计实验方案并加以实现的实验；综合性实验是指实验内容涉及本课程的综合知识或与本课程相关课程知识的实验。</w:t>
      </w:r>
      <w:r>
        <w:rPr>
          <w:rFonts w:hint="eastAsia" w:ascii="仿宋_GB2312" w:eastAsia="仿宋_GB2312"/>
          <w:sz w:val="32"/>
          <w:szCs w:val="32"/>
        </w:rPr>
        <w:t>创新性实验是指学生在教师指导下，针对具体研究目标所进行的具有探索性、研发性的实验。</w:t>
      </w:r>
      <w:r>
        <w:rPr>
          <w:rFonts w:hint="eastAsia" w:ascii="仿宋_GB2312" w:hAnsi="宋体" w:eastAsia="仿宋_GB2312" w:cs="仿宋_GB2312"/>
          <w:sz w:val="32"/>
          <w:szCs w:val="32"/>
        </w:rPr>
        <w:t>根据专业课程的实践教学设计的具体情况进行填写，一门专业课程可以不限于1个设计性、综合性或创新性实验。</w:t>
      </w:r>
    </w:p>
    <w:p w14:paraId="4C4D2444">
      <w:pPr>
        <w:spacing w:line="600" w:lineRule="exact"/>
        <w:ind w:firstLine="643" w:firstLineChars="200"/>
        <w:rPr>
          <w:rFonts w:ascii="仿宋_GB2312" w:hAnsi="宋体" w:eastAsia="仿宋_GB2312" w:cs="仿宋_GB2312"/>
          <w:sz w:val="32"/>
          <w:szCs w:val="32"/>
        </w:rPr>
      </w:pPr>
      <w:r>
        <w:rPr>
          <w:rFonts w:hint="eastAsia" w:ascii="仿宋_GB2312" w:hAnsi="宋体" w:eastAsia="仿宋_GB2312" w:cs="仿宋_GB2312"/>
          <w:b/>
          <w:sz w:val="32"/>
          <w:szCs w:val="32"/>
        </w:rPr>
        <w:t>（4）专业实践教学实施要求：</w:t>
      </w:r>
      <w:r>
        <w:rPr>
          <w:rFonts w:hint="eastAsia" w:ascii="仿宋_GB2312" w:hAnsi="宋体" w:eastAsia="仿宋_GB2312" w:cs="仿宋_GB2312"/>
          <w:sz w:val="32"/>
          <w:szCs w:val="32"/>
        </w:rPr>
        <w:t>针对专业实践教学的各种组织形式，分别简述其教学目标、主要内容、实施条件、成绩评定方法等。</w:t>
      </w:r>
    </w:p>
    <w:p w14:paraId="5E5E6EA2">
      <w:pPr>
        <w:spacing w:line="600" w:lineRule="exact"/>
        <w:ind w:firstLine="640" w:firstLineChars="200"/>
        <w:rPr>
          <w:rFonts w:ascii="仿宋_GB2312" w:eastAsia="仿宋_GB2312"/>
          <w:sz w:val="32"/>
          <w:szCs w:val="32"/>
        </w:rPr>
      </w:pPr>
      <w:r>
        <w:rPr>
          <w:rFonts w:hint="eastAsia" w:ascii="楷体_GB2312" w:hAnsi="宋体" w:eastAsia="楷体_GB2312" w:cs="仿宋_GB2312"/>
          <w:sz w:val="32"/>
          <w:szCs w:val="32"/>
        </w:rPr>
        <w:t>9、创新创业教育：</w:t>
      </w:r>
      <w:r>
        <w:rPr>
          <w:rFonts w:hint="eastAsia" w:ascii="仿宋_GB2312" w:eastAsia="仿宋_GB2312"/>
          <w:sz w:val="32"/>
          <w:szCs w:val="32"/>
        </w:rPr>
        <w:t>包含创新创业教育目标、创新创业教育实施安排。其中：</w:t>
      </w:r>
    </w:p>
    <w:p w14:paraId="0B034E9A">
      <w:pPr>
        <w:spacing w:line="600" w:lineRule="exact"/>
        <w:ind w:firstLine="640" w:firstLineChars="200"/>
        <w:rPr>
          <w:rFonts w:ascii="仿宋_GB2312" w:eastAsia="仿宋_GB2312"/>
          <w:sz w:val="32"/>
          <w:szCs w:val="32"/>
        </w:rPr>
      </w:pPr>
      <w:r>
        <w:rPr>
          <w:rFonts w:hint="eastAsia" w:ascii="仿宋_GB2312" w:eastAsia="仿宋_GB2312"/>
          <w:sz w:val="32"/>
          <w:szCs w:val="32"/>
        </w:rPr>
        <w:t>（1）</w:t>
      </w:r>
      <w:r>
        <w:rPr>
          <w:rFonts w:hint="eastAsia" w:ascii="仿宋_GB2312" w:hAnsi="宋体" w:eastAsia="仿宋_GB2312" w:cs="仿宋_GB2312"/>
          <w:b/>
          <w:sz w:val="32"/>
          <w:szCs w:val="32"/>
        </w:rPr>
        <w:t>创新创业教育的目标：</w:t>
      </w:r>
      <w:r>
        <w:rPr>
          <w:rFonts w:hint="eastAsia" w:ascii="仿宋_GB2312" w:eastAsia="仿宋_GB2312"/>
          <w:sz w:val="32"/>
          <w:szCs w:val="32"/>
        </w:rPr>
        <w:t>依据专业人才培养目标或毕业要求，准确归纳出本专业通过创新创业教育（包括创新创业相关必修课程、设计性创新性实践，以及第二课堂的专业竞赛、大学生创新创业项目等教学活动）培养学生在哪些专业领域或方向的哪些创新创业能力或素养（主要指非技术能力或素养）。</w:t>
      </w:r>
    </w:p>
    <w:p w14:paraId="0DB01A1F">
      <w:pPr>
        <w:ind w:firstLine="422"/>
        <w:rPr>
          <w:rFonts w:ascii="楷体_GB2312" w:hAnsi="宋体" w:eastAsia="楷体_GB2312" w:cs="仿宋_GB2312"/>
          <w:sz w:val="32"/>
          <w:szCs w:val="32"/>
        </w:rPr>
      </w:pPr>
      <w:r>
        <w:rPr>
          <w:rFonts w:hint="eastAsia" w:ascii="仿宋_GB2312" w:eastAsia="仿宋_GB2312"/>
          <w:sz w:val="32"/>
          <w:szCs w:val="32"/>
        </w:rPr>
        <w:t>（2）</w:t>
      </w:r>
      <w:r>
        <w:rPr>
          <w:rFonts w:hint="eastAsia" w:ascii="仿宋_GB2312" w:hAnsi="宋体" w:eastAsia="仿宋_GB2312" w:cs="仿宋_GB2312"/>
          <w:b/>
          <w:sz w:val="32"/>
          <w:szCs w:val="32"/>
        </w:rPr>
        <w:t>创新创业教育实施安排：</w:t>
      </w:r>
      <w:r>
        <w:rPr>
          <w:rFonts w:hint="eastAsia" w:ascii="仿宋_GB2312" w:eastAsia="仿宋_GB2312"/>
          <w:sz w:val="32"/>
          <w:szCs w:val="32"/>
        </w:rPr>
        <w:t>针对创新创业教育的各种组织形式（包括创新创业相关必修课程、设计性创新性实践，以及第二课堂的专业竞赛、大学生创新创业项目等教学活动），分别简述其教学目标、主要内容、实施要求等。</w:t>
      </w:r>
    </w:p>
    <w:p w14:paraId="46752882">
      <w:pPr>
        <w:spacing w:line="600" w:lineRule="exact"/>
        <w:ind w:firstLine="640" w:firstLineChars="200"/>
        <w:rPr>
          <w:rFonts w:ascii="Times New Roman" w:hAnsi="Times New Roman" w:eastAsia="仿宋"/>
          <w:sz w:val="24"/>
          <w:szCs w:val="24"/>
        </w:rPr>
      </w:pPr>
      <w:r>
        <w:rPr>
          <w:rFonts w:hint="eastAsia" w:ascii="楷体_GB2312" w:hAnsi="宋体" w:eastAsia="楷体_GB2312" w:cs="仿宋_GB2312"/>
          <w:sz w:val="32"/>
          <w:szCs w:val="32"/>
        </w:rPr>
        <w:t>1</w:t>
      </w:r>
      <w:r>
        <w:rPr>
          <w:rFonts w:ascii="楷体_GB2312" w:hAnsi="宋体" w:eastAsia="楷体_GB2312" w:cs="仿宋_GB2312"/>
          <w:sz w:val="32"/>
          <w:szCs w:val="32"/>
        </w:rPr>
        <w:t>0</w:t>
      </w:r>
      <w:r>
        <w:rPr>
          <w:rFonts w:hint="eastAsia" w:ascii="楷体_GB2312" w:hAnsi="宋体" w:eastAsia="楷体_GB2312" w:cs="仿宋_GB2312"/>
          <w:sz w:val="32"/>
          <w:szCs w:val="32"/>
        </w:rPr>
        <w:t>、其他说明：</w:t>
      </w:r>
      <w:r>
        <w:rPr>
          <w:rFonts w:hint="eastAsia" w:ascii="仿宋_GB2312" w:hAnsi="宋体" w:eastAsia="仿宋_GB2312" w:cs="仿宋_GB2312"/>
          <w:sz w:val="32"/>
          <w:szCs w:val="32"/>
        </w:rPr>
        <w:t>说明本方案的制订或修订时间，适用范围。</w:t>
      </w:r>
    </w:p>
    <w:p w14:paraId="179FDAF8">
      <w:pPr>
        <w:spacing w:line="600" w:lineRule="exact"/>
        <w:ind w:firstLine="640" w:firstLineChars="200"/>
        <w:rPr>
          <w:rFonts w:ascii="Times New Roman" w:hAnsi="Times New Roman" w:eastAsia="仿宋"/>
          <w:sz w:val="24"/>
          <w:szCs w:val="24"/>
        </w:rPr>
      </w:pPr>
      <w:r>
        <w:rPr>
          <w:rFonts w:hint="eastAsia" w:ascii="楷体_GB2312" w:hAnsi="宋体" w:eastAsia="楷体_GB2312" w:cs="仿宋_GB2312"/>
          <w:sz w:val="32"/>
          <w:szCs w:val="32"/>
        </w:rPr>
        <w:t>1</w:t>
      </w:r>
      <w:r>
        <w:rPr>
          <w:rFonts w:ascii="楷体_GB2312" w:hAnsi="宋体" w:eastAsia="楷体_GB2312" w:cs="仿宋_GB2312"/>
          <w:sz w:val="32"/>
          <w:szCs w:val="32"/>
        </w:rPr>
        <w:t>1</w:t>
      </w:r>
      <w:r>
        <w:rPr>
          <w:rFonts w:hint="eastAsia" w:ascii="楷体_GB2312" w:hAnsi="宋体" w:eastAsia="楷体_GB2312" w:cs="仿宋_GB2312"/>
          <w:sz w:val="32"/>
          <w:szCs w:val="32"/>
        </w:rPr>
        <w:t>、附录：</w:t>
      </w:r>
      <w:r>
        <w:rPr>
          <w:rFonts w:hint="eastAsia" w:ascii="仿宋_GB2312" w:hAnsi="宋体" w:eastAsia="仿宋_GB2312" w:cs="仿宋_GB2312"/>
          <w:sz w:val="32"/>
          <w:szCs w:val="32"/>
        </w:rPr>
        <w:t>对于计划进行工程教育专业认证的专业需包含毕业要求对培养目标的支撑（矩阵图）、课程体系对毕业要求的支撑（矩阵图）和专业主干课程简介，其他专业则只需要专业主干课程简介。其中：</w:t>
      </w:r>
    </w:p>
    <w:p w14:paraId="6AA02A77">
      <w:pPr>
        <w:spacing w:line="600" w:lineRule="exact"/>
        <w:ind w:firstLine="643" w:firstLineChars="200"/>
        <w:rPr>
          <w:rFonts w:ascii="Times New Roman" w:hAnsi="Times New Roman" w:eastAsia="仿宋"/>
          <w:sz w:val="24"/>
          <w:szCs w:val="24"/>
        </w:rPr>
      </w:pPr>
      <w:r>
        <w:rPr>
          <w:rFonts w:hint="eastAsia" w:ascii="仿宋_GB2312" w:hAnsi="宋体" w:eastAsia="仿宋_GB2312" w:cs="仿宋_GB2312"/>
          <w:b/>
          <w:sz w:val="32"/>
          <w:szCs w:val="32"/>
        </w:rPr>
        <w:t>（1）毕业要求对培养目标的支撑（矩阵图）：</w:t>
      </w:r>
      <w:r>
        <w:rPr>
          <w:rFonts w:hint="eastAsia" w:ascii="仿宋_GB2312" w:hAnsi="宋体" w:eastAsia="仿宋_GB2312" w:cs="仿宋_GB2312"/>
          <w:sz w:val="32"/>
          <w:szCs w:val="32"/>
        </w:rPr>
        <w:t>根据毕业要求和培养目标点的具体情况设置表格列数以及填写支撑关系，包括强支撑（用H表示）、一般支撑（用M表示）和弱支撑（用L表示）。</w:t>
      </w:r>
    </w:p>
    <w:p w14:paraId="1D8A1749">
      <w:pPr>
        <w:spacing w:line="600" w:lineRule="exact"/>
        <w:ind w:firstLine="643" w:firstLineChars="200"/>
        <w:rPr>
          <w:rFonts w:ascii="仿宋_GB2312" w:hAnsi="宋体" w:eastAsia="仿宋_GB2312" w:cs="仿宋_GB2312"/>
          <w:sz w:val="32"/>
          <w:szCs w:val="32"/>
        </w:rPr>
      </w:pPr>
      <w:r>
        <w:rPr>
          <w:rFonts w:hint="eastAsia" w:ascii="仿宋_GB2312" w:hAnsi="宋体" w:eastAsia="仿宋_GB2312" w:cs="仿宋_GB2312"/>
          <w:b/>
          <w:sz w:val="32"/>
          <w:szCs w:val="32"/>
        </w:rPr>
        <w:t>（2）课程体系对毕业要求的支撑（矩阵图）：</w:t>
      </w:r>
      <w:r>
        <w:rPr>
          <w:rFonts w:hint="eastAsia" w:ascii="仿宋_GB2312" w:hAnsi="宋体" w:eastAsia="仿宋_GB2312" w:cs="仿宋_GB2312"/>
          <w:sz w:val="32"/>
          <w:szCs w:val="32"/>
        </w:rPr>
        <w:t>根据课程目标和毕业要求的具体情况填写支撑关系，包括强支撑（用H表示）、一般支撑（用M表示）和弱支撑（用L表示）。</w:t>
      </w:r>
    </w:p>
    <w:p w14:paraId="55AC0F41">
      <w:pPr>
        <w:spacing w:line="600" w:lineRule="exact"/>
        <w:ind w:firstLine="643" w:firstLineChars="200"/>
        <w:rPr>
          <w:rFonts w:ascii="Times New Roman" w:hAnsi="Times New Roman" w:eastAsia="仿宋"/>
          <w:sz w:val="24"/>
          <w:szCs w:val="24"/>
        </w:rPr>
      </w:pPr>
      <w:r>
        <w:rPr>
          <w:rFonts w:hint="eastAsia" w:ascii="仿宋_GB2312" w:hAnsi="宋体" w:eastAsia="仿宋_GB2312" w:cs="仿宋_GB2312"/>
          <w:b/>
          <w:sz w:val="32"/>
          <w:szCs w:val="32"/>
        </w:rPr>
        <w:t>（3）专业主干课程简介：</w:t>
      </w:r>
      <w:r>
        <w:rPr>
          <w:rFonts w:hint="eastAsia" w:ascii="仿宋_GB2312" w:hAnsi="宋体" w:eastAsia="仿宋_GB2312" w:cs="仿宋_GB2312"/>
          <w:sz w:val="32"/>
          <w:szCs w:val="32"/>
        </w:rPr>
        <w:t>界定课程内容及其边界，一是可以更明确开设此课程对毕业要求的支撑，二是可以区分相似课程。简介内容主要简述该课程的教学内容及要求。要求可以按照了解、理解和掌握三个层次描述。</w:t>
      </w:r>
    </w:p>
    <w:p w14:paraId="44D2123F">
      <w:pPr>
        <w:spacing w:line="600" w:lineRule="exact"/>
        <w:ind w:firstLine="480" w:firstLineChars="200"/>
        <w:rPr>
          <w:rFonts w:ascii="Times New Roman" w:hAnsi="Times New Roman" w:eastAsia="仿宋"/>
          <w:sz w:val="24"/>
          <w:szCs w:val="24"/>
        </w:rPr>
      </w:pPr>
    </w:p>
    <w:p w14:paraId="4A12C85D">
      <w:pPr>
        <w:adjustRightInd w:val="0"/>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二、格式要求</w:t>
      </w:r>
    </w:p>
    <w:p w14:paraId="4D9D6A95">
      <w:pPr>
        <w:spacing w:line="600" w:lineRule="exact"/>
        <w:ind w:firstLine="640" w:firstLineChars="200"/>
        <w:rPr>
          <w:rFonts w:ascii="Times New Roman" w:hAnsi="Times New Roman" w:eastAsia="仿宋"/>
          <w:sz w:val="24"/>
          <w:szCs w:val="24"/>
        </w:rPr>
      </w:pPr>
      <w:r>
        <w:rPr>
          <w:rFonts w:hint="eastAsia" w:ascii="仿宋_GB2312" w:hAnsi="宋体" w:eastAsia="仿宋_GB2312" w:cs="仿宋_GB2312"/>
          <w:sz w:val="32"/>
          <w:szCs w:val="32"/>
        </w:rPr>
        <w:t>专业人才培养方案按照下述格式要求进行设置：</w:t>
      </w:r>
    </w:p>
    <w:p w14:paraId="2B0EA4F4">
      <w:pPr>
        <w:spacing w:line="600" w:lineRule="exact"/>
        <w:ind w:firstLine="640" w:firstLineChars="200"/>
        <w:rPr>
          <w:rFonts w:ascii="Times New Roman" w:hAnsi="Times New Roman" w:eastAsia="仿宋"/>
          <w:sz w:val="24"/>
          <w:szCs w:val="24"/>
        </w:rPr>
      </w:pPr>
      <w:r>
        <w:rPr>
          <w:rFonts w:hint="eastAsia" w:ascii="楷体_GB2312" w:hAnsi="宋体" w:eastAsia="楷体_GB2312" w:cs="仿宋_GB2312"/>
          <w:sz w:val="32"/>
          <w:szCs w:val="32"/>
        </w:rPr>
        <w:t>1、页边距：</w:t>
      </w:r>
      <w:r>
        <w:rPr>
          <w:rFonts w:hint="eastAsia" w:ascii="仿宋_GB2312" w:hAnsi="宋体" w:eastAsia="仿宋_GB2312" w:cs="仿宋_GB2312"/>
          <w:sz w:val="32"/>
          <w:szCs w:val="32"/>
        </w:rPr>
        <w:t>上3</w:t>
      </w:r>
      <w:r>
        <w:rPr>
          <w:rFonts w:ascii="仿宋_GB2312" w:hAnsi="宋体" w:eastAsia="仿宋_GB2312" w:cs="仿宋_GB2312"/>
          <w:sz w:val="32"/>
          <w:szCs w:val="32"/>
        </w:rPr>
        <w:t>.2cm</w:t>
      </w:r>
      <w:r>
        <w:rPr>
          <w:rFonts w:hint="eastAsia" w:ascii="仿宋_GB2312" w:hAnsi="宋体" w:eastAsia="仿宋_GB2312" w:cs="仿宋_GB2312"/>
          <w:sz w:val="32"/>
          <w:szCs w:val="32"/>
        </w:rPr>
        <w:t>，下2</w:t>
      </w:r>
      <w:r>
        <w:rPr>
          <w:rFonts w:ascii="仿宋_GB2312" w:hAnsi="宋体" w:eastAsia="仿宋_GB2312" w:cs="仿宋_GB2312"/>
          <w:sz w:val="32"/>
          <w:szCs w:val="32"/>
        </w:rPr>
        <w:t>.8</w:t>
      </w:r>
      <w:r>
        <w:rPr>
          <w:rFonts w:hint="eastAsia" w:ascii="仿宋_GB2312" w:hAnsi="宋体" w:eastAsia="仿宋_GB2312" w:cs="仿宋_GB2312"/>
          <w:sz w:val="32"/>
          <w:szCs w:val="32"/>
        </w:rPr>
        <w:t>cm，左2</w:t>
      </w:r>
      <w:r>
        <w:rPr>
          <w:rFonts w:ascii="仿宋_GB2312" w:hAnsi="宋体" w:eastAsia="仿宋_GB2312" w:cs="仿宋_GB2312"/>
          <w:sz w:val="32"/>
          <w:szCs w:val="32"/>
        </w:rPr>
        <w:t>.8cm</w:t>
      </w:r>
      <w:r>
        <w:rPr>
          <w:rFonts w:hint="eastAsia" w:ascii="仿宋_GB2312" w:hAnsi="宋体" w:eastAsia="仿宋_GB2312" w:cs="仿宋_GB2312"/>
          <w:sz w:val="32"/>
          <w:szCs w:val="32"/>
        </w:rPr>
        <w:t>，右2</w:t>
      </w:r>
      <w:r>
        <w:rPr>
          <w:rFonts w:ascii="仿宋_GB2312" w:hAnsi="宋体" w:eastAsia="仿宋_GB2312" w:cs="仿宋_GB2312"/>
          <w:sz w:val="32"/>
          <w:szCs w:val="32"/>
        </w:rPr>
        <w:t>.6cm</w:t>
      </w:r>
      <w:r>
        <w:rPr>
          <w:rFonts w:hint="eastAsia" w:ascii="仿宋_GB2312" w:hAnsi="宋体" w:eastAsia="仿宋_GB2312" w:cs="仿宋_GB2312"/>
          <w:sz w:val="32"/>
          <w:szCs w:val="32"/>
        </w:rPr>
        <w:t>。</w:t>
      </w:r>
    </w:p>
    <w:p w14:paraId="6BDB01C6">
      <w:pPr>
        <w:spacing w:line="600" w:lineRule="exact"/>
        <w:ind w:firstLine="640" w:firstLineChars="200"/>
        <w:rPr>
          <w:rFonts w:ascii="仿宋_GB2312" w:hAnsi="宋体" w:eastAsia="仿宋_GB2312" w:cs="仿宋_GB2312"/>
          <w:sz w:val="32"/>
          <w:szCs w:val="32"/>
        </w:rPr>
      </w:pPr>
      <w:r>
        <w:rPr>
          <w:rFonts w:hint="eastAsia" w:ascii="楷体_GB2312" w:hAnsi="宋体" w:eastAsia="楷体_GB2312" w:cs="仿宋_GB2312"/>
          <w:sz w:val="32"/>
          <w:szCs w:val="32"/>
        </w:rPr>
        <w:t>2、行距与字体颜色：</w:t>
      </w:r>
      <w:r>
        <w:rPr>
          <w:rFonts w:hint="eastAsia" w:ascii="仿宋_GB2312" w:hAnsi="宋体" w:eastAsia="仿宋_GB2312" w:cs="仿宋_GB2312"/>
          <w:sz w:val="32"/>
          <w:szCs w:val="32"/>
        </w:rPr>
        <w:t>全文行距设置为（多倍行距）：1</w:t>
      </w:r>
      <w:r>
        <w:rPr>
          <w:rFonts w:ascii="仿宋_GB2312" w:hAnsi="宋体" w:eastAsia="仿宋_GB2312" w:cs="仿宋_GB2312"/>
          <w:sz w:val="32"/>
          <w:szCs w:val="32"/>
        </w:rPr>
        <w:t>.25</w:t>
      </w:r>
      <w:r>
        <w:rPr>
          <w:rFonts w:hint="eastAsia" w:ascii="仿宋_GB2312" w:hAnsi="宋体" w:eastAsia="仿宋_GB2312" w:cs="仿宋_GB2312"/>
          <w:sz w:val="32"/>
          <w:szCs w:val="32"/>
        </w:rPr>
        <w:t>倍行距。字体颜色设置为“自动”（黑色）。</w:t>
      </w:r>
    </w:p>
    <w:p w14:paraId="4BE000AA">
      <w:pPr>
        <w:spacing w:line="600" w:lineRule="exact"/>
        <w:ind w:firstLine="640" w:firstLineChars="200"/>
        <w:rPr>
          <w:rFonts w:ascii="楷体_GB2312" w:hAnsi="宋体" w:eastAsia="楷体_GB2312" w:cs="仿宋_GB2312"/>
          <w:sz w:val="32"/>
          <w:szCs w:val="32"/>
        </w:rPr>
      </w:pPr>
      <w:r>
        <w:rPr>
          <w:rFonts w:ascii="楷体_GB2312" w:hAnsi="宋体" w:eastAsia="楷体_GB2312" w:cs="仿宋_GB2312"/>
          <w:sz w:val="32"/>
          <w:szCs w:val="32"/>
        </w:rPr>
        <w:t>3</w:t>
      </w:r>
      <w:r>
        <w:rPr>
          <w:rFonts w:hint="eastAsia" w:ascii="楷体_GB2312" w:hAnsi="宋体" w:eastAsia="楷体_GB2312" w:cs="仿宋_GB2312"/>
          <w:sz w:val="32"/>
          <w:szCs w:val="32"/>
        </w:rPr>
        <w:t>、标题：</w:t>
      </w:r>
    </w:p>
    <w:p w14:paraId="6B865DC9">
      <w:pPr>
        <w:spacing w:line="600" w:lineRule="exact"/>
        <w:ind w:firstLine="640" w:firstLineChars="200"/>
        <w:rPr>
          <w:rFonts w:ascii="Times New Roman" w:hAnsi="Times New Roman" w:eastAsia="仿宋"/>
          <w:sz w:val="24"/>
          <w:szCs w:val="24"/>
        </w:rPr>
      </w:pPr>
      <w:r>
        <w:rPr>
          <w:rFonts w:hint="eastAsia" w:ascii="仿宋_GB2312" w:hAnsi="宋体" w:eastAsia="仿宋_GB2312" w:cs="仿宋_GB2312"/>
          <w:sz w:val="32"/>
          <w:szCs w:val="32"/>
        </w:rPr>
        <w:t>（1）“X</w:t>
      </w:r>
      <w:r>
        <w:rPr>
          <w:rFonts w:ascii="仿宋_GB2312" w:hAnsi="宋体" w:eastAsia="仿宋_GB2312" w:cs="仿宋_GB2312"/>
          <w:sz w:val="32"/>
          <w:szCs w:val="32"/>
        </w:rPr>
        <w:t>XX</w:t>
      </w:r>
      <w:r>
        <w:rPr>
          <w:rFonts w:hint="eastAsia" w:ascii="仿宋_GB2312" w:hAnsi="宋体" w:eastAsia="仿宋_GB2312" w:cs="仿宋_GB2312"/>
          <w:sz w:val="32"/>
          <w:szCs w:val="32"/>
        </w:rPr>
        <w:t>专业人才培养方案”设为“标题1”样式：二号黑体，粗体，居中，段前段后间距为0。该标题下的“专业代码”设置为：三号，中文为宋体，西文为Ti</w:t>
      </w:r>
      <w:r>
        <w:rPr>
          <w:rFonts w:ascii="仿宋_GB2312" w:hAnsi="宋体" w:eastAsia="仿宋_GB2312" w:cs="仿宋_GB2312"/>
          <w:sz w:val="32"/>
          <w:szCs w:val="32"/>
        </w:rPr>
        <w:t>mes New Roman</w:t>
      </w:r>
      <w:r>
        <w:rPr>
          <w:rFonts w:hint="eastAsia" w:ascii="仿宋_GB2312" w:hAnsi="宋体" w:eastAsia="仿宋_GB2312" w:cs="仿宋_GB2312"/>
          <w:sz w:val="32"/>
          <w:szCs w:val="32"/>
        </w:rPr>
        <w:t>，居中。</w:t>
      </w:r>
    </w:p>
    <w:p w14:paraId="1CC8D4AB">
      <w:pPr>
        <w:spacing w:line="600" w:lineRule="exact"/>
        <w:ind w:firstLine="640" w:firstLineChars="200"/>
        <w:rPr>
          <w:rFonts w:ascii="Times New Roman" w:hAnsi="Times New Roman" w:eastAsia="仿宋"/>
          <w:sz w:val="24"/>
          <w:szCs w:val="24"/>
        </w:rPr>
      </w:pPr>
      <w:r>
        <w:rPr>
          <w:rFonts w:hint="eastAsia" w:ascii="仿宋_GB2312" w:hAnsi="宋体" w:eastAsia="仿宋_GB2312" w:cs="仿宋_GB2312"/>
          <w:color w:val="000000"/>
          <w:sz w:val="32"/>
          <w:szCs w:val="32"/>
        </w:rPr>
        <w:t>（2）其他标题采用分级（三级）编写，分别为：一、……，（一）……，1</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……。其中，一级标题设为“标题2”样式：四号黑体，粗体，段前段后间距为6磅，两端对齐，顶格（不缩进）。二级标题和三级标题均设为“正文”样式：五号，中文为宋体，西文为Ti</w:t>
      </w:r>
      <w:r>
        <w:rPr>
          <w:rFonts w:ascii="仿宋_GB2312" w:hAnsi="宋体" w:eastAsia="仿宋_GB2312" w:cs="仿宋_GB2312"/>
          <w:color w:val="000000"/>
          <w:sz w:val="32"/>
          <w:szCs w:val="32"/>
        </w:rPr>
        <w:t>mes New Roman</w:t>
      </w:r>
      <w:r>
        <w:rPr>
          <w:rFonts w:hint="eastAsia" w:ascii="仿宋_GB2312" w:hAnsi="宋体" w:eastAsia="仿宋_GB2312" w:cs="仿宋_GB2312"/>
          <w:color w:val="000000"/>
          <w:sz w:val="32"/>
          <w:szCs w:val="32"/>
        </w:rPr>
        <w:t>，粗体，两端对齐，首行缩进2字符，段前段后间距为0。</w:t>
      </w:r>
    </w:p>
    <w:p w14:paraId="5F936648">
      <w:pPr>
        <w:spacing w:line="600" w:lineRule="exact"/>
        <w:ind w:firstLine="640" w:firstLineChars="200"/>
        <w:rPr>
          <w:rFonts w:ascii="Times New Roman" w:hAnsi="Times New Roman" w:eastAsia="仿宋"/>
          <w:sz w:val="24"/>
          <w:szCs w:val="24"/>
        </w:rPr>
      </w:pPr>
      <w:r>
        <w:rPr>
          <w:rFonts w:hint="eastAsia" w:ascii="楷体_GB2312" w:hAnsi="宋体" w:eastAsia="楷体_GB2312" w:cs="仿宋_GB2312"/>
          <w:sz w:val="32"/>
          <w:szCs w:val="32"/>
        </w:rPr>
        <w:t>4、正文：</w:t>
      </w:r>
    </w:p>
    <w:p w14:paraId="34C7C0E8">
      <w:pPr>
        <w:spacing w:line="60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s="仿宋_GB2312"/>
          <w:color w:val="000000"/>
          <w:sz w:val="32"/>
          <w:szCs w:val="32"/>
        </w:rPr>
        <w:t>（1）文字部分：五号，中文为宋体，西文为Ti</w:t>
      </w:r>
      <w:r>
        <w:rPr>
          <w:rFonts w:ascii="仿宋_GB2312" w:hAnsi="宋体" w:eastAsia="仿宋_GB2312" w:cs="仿宋_GB2312"/>
          <w:color w:val="000000"/>
          <w:sz w:val="32"/>
          <w:szCs w:val="32"/>
        </w:rPr>
        <w:t>mes New Roman</w:t>
      </w:r>
      <w:r>
        <w:rPr>
          <w:rFonts w:hint="eastAsia" w:ascii="仿宋_GB2312" w:hAnsi="宋体" w:eastAsia="仿宋_GB2312" w:cs="仿宋_GB2312"/>
          <w:color w:val="000000"/>
          <w:sz w:val="32"/>
          <w:szCs w:val="32"/>
        </w:rPr>
        <w:t>，两端对齐，首行缩进2字符，段前段后间距为0。</w:t>
      </w:r>
    </w:p>
    <w:p w14:paraId="6E405B92">
      <w:pPr>
        <w:spacing w:line="600" w:lineRule="exact"/>
        <w:ind w:firstLine="640" w:firstLineChars="200"/>
        <w:rPr>
          <w:rFonts w:ascii="Times New Roman" w:hAnsi="Times New Roman" w:eastAsia="仿宋"/>
          <w:sz w:val="24"/>
          <w:szCs w:val="24"/>
        </w:rPr>
      </w:pPr>
      <w:r>
        <w:rPr>
          <w:rFonts w:hint="eastAsia" w:ascii="仿宋_GB2312" w:hAnsi="宋体" w:eastAsia="仿宋_GB2312" w:cs="仿宋_GB2312"/>
          <w:color w:val="000000"/>
          <w:sz w:val="32"/>
          <w:szCs w:val="32"/>
        </w:rPr>
        <w:t>（2）表格部分：五号，中文为宋体，西文为Ti</w:t>
      </w:r>
      <w:r>
        <w:rPr>
          <w:rFonts w:ascii="仿宋_GB2312" w:hAnsi="宋体" w:eastAsia="仿宋_GB2312" w:cs="仿宋_GB2312"/>
          <w:color w:val="000000"/>
          <w:sz w:val="32"/>
          <w:szCs w:val="32"/>
        </w:rPr>
        <w:t>mes New Roman</w:t>
      </w:r>
      <w:r>
        <w:rPr>
          <w:rFonts w:hint="eastAsia" w:ascii="仿宋_GB2312" w:hAnsi="宋体" w:eastAsia="仿宋_GB2312" w:cs="仿宋_GB2312"/>
          <w:color w:val="000000"/>
          <w:sz w:val="32"/>
          <w:szCs w:val="32"/>
        </w:rPr>
        <w:t>，居中，首行不缩进，段前段后间距为0。表格中的字段名设为粗体，表格的标题设为粗体。表格大小设置为“自动调整-根据窗口自动调整表格”，表格属性不需设置，使用默认值。</w:t>
      </w:r>
    </w:p>
    <w:p w14:paraId="3605E155">
      <w:pPr>
        <w:spacing w:line="600" w:lineRule="exact"/>
        <w:ind w:firstLine="640" w:firstLineChars="200"/>
        <w:rPr>
          <w:rFonts w:ascii="Times New Roman" w:hAnsi="Times New Roman" w:eastAsia="仿宋"/>
          <w:sz w:val="24"/>
          <w:szCs w:val="24"/>
        </w:rPr>
      </w:pPr>
      <w:r>
        <w:rPr>
          <w:rFonts w:hint="eastAsia" w:ascii="楷体_GB2312" w:hAnsi="宋体" w:eastAsia="楷体_GB2312" w:cs="仿宋_GB2312"/>
          <w:sz w:val="32"/>
          <w:szCs w:val="32"/>
        </w:rPr>
        <w:t>5、页眉页脚：</w:t>
      </w:r>
      <w:r>
        <w:rPr>
          <w:rFonts w:hint="eastAsia" w:ascii="仿宋_GB2312" w:hAnsi="宋体" w:eastAsia="仿宋_GB2312" w:cs="仿宋_GB2312"/>
          <w:color w:val="000000"/>
          <w:sz w:val="32"/>
          <w:szCs w:val="32"/>
        </w:rPr>
        <w:t>不设置（因需各专业汇编，汇编时统一设置）</w:t>
      </w:r>
      <w:r>
        <w:rPr>
          <w:rFonts w:hint="eastAsia" w:ascii="Times New Roman" w:hAnsi="Times New Roman" w:eastAsia="仿宋"/>
          <w:sz w:val="24"/>
          <w:szCs w:val="24"/>
        </w:rPr>
        <w:t>。</w:t>
      </w:r>
    </w:p>
    <w:p w14:paraId="1AA245EF">
      <w:pPr>
        <w:spacing w:line="600" w:lineRule="exact"/>
        <w:ind w:firstLine="640" w:firstLineChars="200"/>
      </w:pPr>
      <w:r>
        <w:rPr>
          <w:rFonts w:ascii="楷体_GB2312" w:hAnsi="宋体" w:eastAsia="楷体_GB2312" w:cs="仿宋_GB2312"/>
          <w:sz w:val="32"/>
          <w:szCs w:val="32"/>
        </w:rPr>
        <w:t>6</w:t>
      </w:r>
      <w:r>
        <w:rPr>
          <w:rFonts w:hint="eastAsia" w:ascii="楷体_GB2312" w:hAnsi="宋体" w:eastAsia="楷体_GB2312" w:cs="仿宋_GB2312"/>
          <w:sz w:val="32"/>
          <w:szCs w:val="32"/>
        </w:rPr>
        <w:t>、其他：</w:t>
      </w:r>
      <w:r>
        <w:rPr>
          <w:rFonts w:hint="eastAsia" w:ascii="仿宋_GB2312" w:hAnsi="宋体" w:eastAsia="仿宋_GB2312" w:cs="仿宋_GB2312"/>
          <w:color w:val="000000"/>
          <w:sz w:val="32"/>
          <w:szCs w:val="32"/>
        </w:rPr>
        <w:t>培养目标中的分目标标号采用粗体；主干课程简介中的课程名称和代码采用粗体。</w:t>
      </w:r>
    </w:p>
    <w:p w14:paraId="7BCD6384">
      <w:pPr>
        <w:spacing w:line="600" w:lineRule="exact"/>
        <w:rPr>
          <w:rFonts w:ascii="宋体" w:hAnsi="宋体"/>
          <w:szCs w:val="21"/>
        </w:rPr>
      </w:pPr>
    </w:p>
    <w:p w14:paraId="4DC7B7DC">
      <w:pPr>
        <w:widowControl/>
        <w:autoSpaceDE w:val="0"/>
        <w:autoSpaceDN w:val="0"/>
        <w:adjustRightInd w:val="0"/>
        <w:snapToGrid w:val="0"/>
        <w:spacing w:line="560" w:lineRule="exact"/>
        <w:ind w:firstLine="880" w:firstLineChars="200"/>
        <w:textAlignment w:val="baseline"/>
        <w:rPr>
          <w:rFonts w:ascii="方正小标宋简体" w:hAnsi="宋体" w:eastAsia="方正小标宋简体" w:cs="宋体"/>
          <w:sz w:val="44"/>
          <w:szCs w:val="44"/>
        </w:rPr>
      </w:pPr>
    </w:p>
    <w:p w14:paraId="5DC8E82A">
      <w:pPr>
        <w:widowControl/>
        <w:autoSpaceDE w:val="0"/>
        <w:autoSpaceDN w:val="0"/>
        <w:adjustRightInd w:val="0"/>
        <w:snapToGrid w:val="0"/>
        <w:spacing w:line="560" w:lineRule="exact"/>
        <w:ind w:firstLine="880" w:firstLineChars="200"/>
        <w:textAlignment w:val="baseline"/>
        <w:rPr>
          <w:rFonts w:ascii="方正小标宋简体" w:hAnsi="宋体" w:eastAsia="方正小标宋简体" w:cs="宋体"/>
          <w:sz w:val="44"/>
          <w:szCs w:val="44"/>
        </w:rPr>
      </w:pPr>
    </w:p>
    <w:p w14:paraId="278BD90D">
      <w:pPr>
        <w:widowControl/>
        <w:autoSpaceDE w:val="0"/>
        <w:autoSpaceDN w:val="0"/>
        <w:adjustRightInd w:val="0"/>
        <w:snapToGrid w:val="0"/>
        <w:spacing w:line="560" w:lineRule="exact"/>
        <w:ind w:firstLine="640" w:firstLineChars="200"/>
        <w:textAlignment w:val="baseline"/>
        <w:rPr>
          <w:rFonts w:ascii="仿宋_GB2312" w:hAnsi="仿宋_GB2312" w:eastAsia="仿宋_GB2312" w:cs="仿宋_GB2312"/>
          <w:sz w:val="32"/>
          <w:szCs w:val="32"/>
        </w:rPr>
      </w:pPr>
    </w:p>
    <w:p w14:paraId="2CEC890C">
      <w:pPr>
        <w:spacing w:line="420" w:lineRule="exact"/>
        <w:rPr>
          <w:rFonts w:ascii="黑体" w:hAnsi="宋体" w:eastAsia="黑体"/>
          <w:sz w:val="28"/>
          <w:szCs w:val="28"/>
        </w:rPr>
      </w:pPr>
    </w:p>
    <w:p w14:paraId="19F24410">
      <w:pPr>
        <w:spacing w:line="420" w:lineRule="exact"/>
        <w:rPr>
          <w:rFonts w:ascii="黑体" w:hAnsi="宋体" w:eastAsia="黑体"/>
          <w:sz w:val="28"/>
          <w:szCs w:val="28"/>
        </w:rPr>
      </w:pPr>
    </w:p>
    <w:p w14:paraId="0A6AA31B">
      <w:pPr>
        <w:spacing w:line="420" w:lineRule="exact"/>
        <w:rPr>
          <w:rFonts w:ascii="黑体" w:hAnsi="宋体" w:eastAsia="黑体"/>
          <w:sz w:val="28"/>
          <w:szCs w:val="28"/>
        </w:rPr>
      </w:pPr>
    </w:p>
    <w:p w14:paraId="7D4A7A7B">
      <w:pPr>
        <w:spacing w:line="420" w:lineRule="exact"/>
        <w:rPr>
          <w:rFonts w:ascii="黑体" w:hAnsi="宋体" w:eastAsia="黑体"/>
          <w:sz w:val="28"/>
          <w:szCs w:val="28"/>
        </w:rPr>
      </w:pPr>
    </w:p>
    <w:p w14:paraId="3E708DA6">
      <w:pPr>
        <w:spacing w:line="420" w:lineRule="exact"/>
        <w:rPr>
          <w:rFonts w:ascii="黑体" w:hAnsi="宋体" w:eastAsia="黑体"/>
          <w:sz w:val="28"/>
          <w:szCs w:val="28"/>
        </w:rPr>
      </w:pPr>
    </w:p>
    <w:p w14:paraId="67CBB83F">
      <w:pPr>
        <w:spacing w:line="420" w:lineRule="exact"/>
        <w:rPr>
          <w:rFonts w:ascii="黑体" w:hAnsi="宋体" w:eastAsia="黑体"/>
          <w:sz w:val="28"/>
          <w:szCs w:val="28"/>
        </w:rPr>
      </w:pPr>
    </w:p>
    <w:p w14:paraId="6D4B0556">
      <w:pPr>
        <w:spacing w:line="420" w:lineRule="exact"/>
        <w:rPr>
          <w:rFonts w:ascii="黑体" w:hAnsi="宋体" w:eastAsia="黑体"/>
          <w:sz w:val="28"/>
          <w:szCs w:val="28"/>
        </w:rPr>
      </w:pPr>
    </w:p>
    <w:p w14:paraId="3B714494">
      <w:pPr>
        <w:spacing w:line="420" w:lineRule="exact"/>
        <w:rPr>
          <w:rFonts w:ascii="黑体" w:hAnsi="宋体" w:eastAsia="黑体"/>
          <w:sz w:val="28"/>
          <w:szCs w:val="28"/>
        </w:rPr>
      </w:pPr>
    </w:p>
    <w:p w14:paraId="21791D54">
      <w:pPr>
        <w:spacing w:line="420" w:lineRule="exact"/>
        <w:rPr>
          <w:rFonts w:ascii="黑体" w:hAnsi="宋体" w:eastAsia="黑体"/>
          <w:sz w:val="28"/>
          <w:szCs w:val="28"/>
        </w:rPr>
      </w:pPr>
    </w:p>
    <w:p w14:paraId="65189ED5">
      <w:pPr>
        <w:spacing w:line="420" w:lineRule="exact"/>
        <w:rPr>
          <w:rFonts w:ascii="黑体" w:hAnsi="宋体" w:eastAsia="黑体"/>
          <w:sz w:val="28"/>
          <w:szCs w:val="28"/>
        </w:rPr>
      </w:pPr>
    </w:p>
    <w:p w14:paraId="3512D0BD">
      <w:pPr>
        <w:spacing w:line="420" w:lineRule="exact"/>
        <w:rPr>
          <w:rFonts w:ascii="黑体" w:hAnsi="宋体" w:eastAsia="黑体"/>
          <w:sz w:val="28"/>
          <w:szCs w:val="28"/>
        </w:rPr>
      </w:pPr>
    </w:p>
    <w:p w14:paraId="72E89D56">
      <w:pPr>
        <w:spacing w:line="420" w:lineRule="exact"/>
        <w:rPr>
          <w:rFonts w:ascii="黑体" w:hAnsi="宋体" w:eastAsia="黑体"/>
          <w:sz w:val="28"/>
          <w:szCs w:val="28"/>
        </w:rPr>
      </w:pPr>
    </w:p>
    <w:p w14:paraId="1CD30524">
      <w:pPr>
        <w:spacing w:line="420" w:lineRule="exact"/>
        <w:rPr>
          <w:rFonts w:ascii="黑体" w:hAnsi="宋体" w:eastAsia="黑体"/>
          <w:sz w:val="28"/>
          <w:szCs w:val="28"/>
        </w:rPr>
      </w:pPr>
    </w:p>
    <w:p w14:paraId="5DDD1E44">
      <w:pPr>
        <w:spacing w:line="420" w:lineRule="exact"/>
        <w:rPr>
          <w:rFonts w:ascii="黑体" w:hAnsi="宋体" w:eastAsia="黑体"/>
          <w:sz w:val="28"/>
          <w:szCs w:val="28"/>
        </w:rPr>
      </w:pPr>
    </w:p>
    <w:p w14:paraId="6BE538BE">
      <w:pPr>
        <w:spacing w:line="420" w:lineRule="exact"/>
        <w:rPr>
          <w:rFonts w:ascii="黑体" w:hAnsi="宋体" w:eastAsia="黑体"/>
          <w:sz w:val="28"/>
          <w:szCs w:val="28"/>
        </w:rPr>
      </w:pPr>
    </w:p>
    <w:p w14:paraId="0D476BE0">
      <w:pPr>
        <w:spacing w:line="420" w:lineRule="exact"/>
        <w:rPr>
          <w:rFonts w:ascii="黑体" w:hAnsi="宋体" w:eastAsia="黑体"/>
          <w:sz w:val="28"/>
          <w:szCs w:val="28"/>
        </w:rPr>
      </w:pPr>
    </w:p>
    <w:p w14:paraId="2DE7E635">
      <w:pPr>
        <w:spacing w:line="420" w:lineRule="exact"/>
        <w:rPr>
          <w:rFonts w:ascii="黑体" w:hAnsi="宋体" w:eastAsia="黑体"/>
          <w:sz w:val="28"/>
          <w:szCs w:val="28"/>
        </w:rPr>
      </w:pPr>
    </w:p>
    <w:p w14:paraId="5329C50E">
      <w:pPr>
        <w:spacing w:line="420" w:lineRule="exact"/>
        <w:rPr>
          <w:rFonts w:ascii="黑体" w:hAnsi="宋体" w:eastAsia="黑体"/>
          <w:sz w:val="28"/>
          <w:szCs w:val="28"/>
        </w:rPr>
      </w:pPr>
    </w:p>
    <w:p w14:paraId="13B026C5">
      <w:pPr>
        <w:spacing w:line="420" w:lineRule="exact"/>
        <w:rPr>
          <w:rFonts w:ascii="黑体" w:hAnsi="宋体" w:eastAsia="黑体"/>
          <w:sz w:val="28"/>
          <w:szCs w:val="28"/>
        </w:rPr>
      </w:pPr>
    </w:p>
    <w:p w14:paraId="1AC50334">
      <w:pPr>
        <w:spacing w:line="420" w:lineRule="exact"/>
        <w:rPr>
          <w:rFonts w:ascii="黑体" w:hAnsi="宋体" w:eastAsia="黑体"/>
          <w:sz w:val="28"/>
          <w:szCs w:val="28"/>
        </w:rPr>
      </w:pPr>
    </w:p>
    <w:p w14:paraId="781A6B89">
      <w:pPr>
        <w:spacing w:line="420" w:lineRule="exact"/>
        <w:rPr>
          <w:rFonts w:ascii="黑体" w:hAnsi="宋体" w:eastAsia="黑体"/>
          <w:sz w:val="28"/>
          <w:szCs w:val="28"/>
        </w:rPr>
      </w:pPr>
    </w:p>
    <w:p w14:paraId="732D10D6">
      <w:pPr>
        <w:spacing w:line="420" w:lineRule="exact"/>
        <w:rPr>
          <w:rFonts w:ascii="黑体" w:hAnsi="宋体" w:eastAsia="黑体"/>
          <w:sz w:val="28"/>
          <w:szCs w:val="28"/>
        </w:rPr>
      </w:pPr>
    </w:p>
    <w:p w14:paraId="65A2057F">
      <w:pPr>
        <w:spacing w:line="420" w:lineRule="exact"/>
        <w:rPr>
          <w:rFonts w:ascii="黑体" w:hAnsi="宋体" w:eastAsia="黑体"/>
          <w:sz w:val="28"/>
          <w:szCs w:val="28"/>
        </w:rPr>
      </w:pPr>
    </w:p>
    <w:p w14:paraId="112759E2">
      <w:pPr>
        <w:spacing w:line="420" w:lineRule="exact"/>
        <w:rPr>
          <w:rFonts w:ascii="黑体" w:hAnsi="宋体" w:eastAsia="黑体"/>
          <w:sz w:val="28"/>
          <w:szCs w:val="28"/>
        </w:rPr>
        <w:sectPr>
          <w:footerReference r:id="rId8" w:type="first"/>
          <w:footerReference r:id="rId6" w:type="default"/>
          <w:footerReference r:id="rId7" w:type="even"/>
          <w:pgSz w:w="11906" w:h="16838"/>
          <w:pgMar w:top="1440" w:right="1800" w:bottom="1440" w:left="1800" w:header="851" w:footer="992" w:gutter="0"/>
          <w:pgNumType w:fmt="numberInDash"/>
          <w:cols w:space="425" w:num="1"/>
          <w:titlePg/>
          <w:docGrid w:type="lines" w:linePitch="312" w:charSpace="0"/>
        </w:sectPr>
      </w:pPr>
    </w:p>
    <w:p w14:paraId="43A4E83B">
      <w:pPr>
        <w:spacing w:line="420" w:lineRule="exact"/>
        <w:rPr>
          <w:rFonts w:ascii="黑体" w:hAnsi="宋体" w:eastAsia="黑体"/>
          <w:sz w:val="28"/>
          <w:szCs w:val="28"/>
        </w:rPr>
      </w:pPr>
    </w:p>
    <w:p w14:paraId="467050B3">
      <w:pPr>
        <w:spacing w:line="420" w:lineRule="exact"/>
        <w:rPr>
          <w:rFonts w:ascii="黑体" w:hAnsi="宋体" w:eastAsia="黑体"/>
          <w:sz w:val="28"/>
          <w:szCs w:val="28"/>
        </w:rPr>
      </w:pPr>
    </w:p>
    <w:p w14:paraId="17263C0E">
      <w:pPr>
        <w:spacing w:line="420" w:lineRule="exact"/>
        <w:rPr>
          <w:rFonts w:ascii="黑体" w:hAnsi="宋体" w:eastAsia="黑体"/>
          <w:sz w:val="28"/>
          <w:szCs w:val="28"/>
        </w:rPr>
      </w:pPr>
    </w:p>
    <w:p w14:paraId="407DB275">
      <w:pPr>
        <w:spacing w:line="420" w:lineRule="exact"/>
        <w:rPr>
          <w:rFonts w:ascii="黑体" w:hAnsi="宋体" w:eastAsia="黑体"/>
          <w:sz w:val="28"/>
          <w:szCs w:val="28"/>
        </w:rPr>
      </w:pPr>
    </w:p>
    <w:p w14:paraId="390FA69E">
      <w:pPr>
        <w:spacing w:line="420" w:lineRule="exact"/>
        <w:rPr>
          <w:rFonts w:ascii="黑体" w:hAnsi="宋体" w:eastAsia="黑体"/>
          <w:sz w:val="28"/>
          <w:szCs w:val="28"/>
        </w:rPr>
      </w:pPr>
    </w:p>
    <w:p w14:paraId="32FCB1C8">
      <w:pPr>
        <w:spacing w:line="420" w:lineRule="exact"/>
        <w:rPr>
          <w:rFonts w:ascii="黑体" w:hAnsi="宋体" w:eastAsia="黑体"/>
          <w:sz w:val="28"/>
          <w:szCs w:val="28"/>
        </w:rPr>
      </w:pPr>
    </w:p>
    <w:p w14:paraId="6A65D1A0">
      <w:pPr>
        <w:spacing w:line="420" w:lineRule="exact"/>
        <w:rPr>
          <w:rFonts w:ascii="黑体" w:hAnsi="宋体" w:eastAsia="黑体"/>
          <w:sz w:val="28"/>
          <w:szCs w:val="28"/>
        </w:rPr>
      </w:pPr>
    </w:p>
    <w:p w14:paraId="52B80CC7">
      <w:pPr>
        <w:spacing w:line="420" w:lineRule="exact"/>
        <w:rPr>
          <w:rFonts w:ascii="黑体" w:hAnsi="宋体" w:eastAsia="黑体"/>
          <w:sz w:val="28"/>
          <w:szCs w:val="28"/>
        </w:rPr>
      </w:pPr>
    </w:p>
    <w:p w14:paraId="6218637F">
      <w:pPr>
        <w:spacing w:line="420" w:lineRule="exact"/>
        <w:rPr>
          <w:rFonts w:ascii="黑体" w:hAnsi="宋体" w:eastAsia="黑体"/>
          <w:sz w:val="28"/>
          <w:szCs w:val="28"/>
        </w:rPr>
      </w:pPr>
    </w:p>
    <w:p w14:paraId="48C64D4D">
      <w:pPr>
        <w:spacing w:line="420" w:lineRule="exact"/>
        <w:rPr>
          <w:rFonts w:ascii="黑体" w:hAnsi="宋体" w:eastAsia="黑体"/>
          <w:sz w:val="28"/>
          <w:szCs w:val="28"/>
        </w:rPr>
      </w:pPr>
    </w:p>
    <w:p w14:paraId="42BBEF9C">
      <w:pPr>
        <w:spacing w:line="420" w:lineRule="exact"/>
        <w:rPr>
          <w:rFonts w:ascii="黑体" w:hAnsi="宋体" w:eastAsia="黑体"/>
          <w:sz w:val="28"/>
          <w:szCs w:val="28"/>
        </w:rPr>
      </w:pPr>
    </w:p>
    <w:p w14:paraId="54CF31EA">
      <w:pPr>
        <w:spacing w:line="420" w:lineRule="exact"/>
        <w:rPr>
          <w:rFonts w:ascii="黑体" w:hAnsi="宋体" w:eastAsia="黑体"/>
          <w:sz w:val="28"/>
          <w:szCs w:val="28"/>
        </w:rPr>
      </w:pPr>
    </w:p>
    <w:p w14:paraId="01740EAF">
      <w:pPr>
        <w:spacing w:line="420" w:lineRule="exact"/>
        <w:rPr>
          <w:rFonts w:ascii="黑体" w:hAnsi="宋体" w:eastAsia="黑体"/>
          <w:sz w:val="28"/>
          <w:szCs w:val="28"/>
        </w:rPr>
      </w:pPr>
    </w:p>
    <w:p w14:paraId="0610128D">
      <w:pPr>
        <w:spacing w:line="420" w:lineRule="exact"/>
        <w:rPr>
          <w:rFonts w:ascii="黑体" w:hAnsi="宋体" w:eastAsia="黑体"/>
          <w:sz w:val="28"/>
          <w:szCs w:val="28"/>
        </w:rPr>
      </w:pPr>
    </w:p>
    <w:p w14:paraId="337C4577">
      <w:pPr>
        <w:spacing w:line="420" w:lineRule="exact"/>
        <w:rPr>
          <w:rFonts w:ascii="黑体" w:hAnsi="宋体" w:eastAsia="黑体"/>
          <w:sz w:val="28"/>
          <w:szCs w:val="28"/>
        </w:rPr>
      </w:pPr>
    </w:p>
    <w:p w14:paraId="2CBF843F">
      <w:pPr>
        <w:spacing w:line="420" w:lineRule="exact"/>
        <w:rPr>
          <w:rFonts w:ascii="黑体" w:hAnsi="宋体" w:eastAsia="黑体"/>
          <w:sz w:val="28"/>
          <w:szCs w:val="28"/>
        </w:rPr>
      </w:pPr>
    </w:p>
    <w:p w14:paraId="70215FEA">
      <w:pPr>
        <w:spacing w:line="420" w:lineRule="exact"/>
        <w:rPr>
          <w:rFonts w:ascii="黑体" w:hAnsi="宋体" w:eastAsia="黑体"/>
          <w:sz w:val="28"/>
          <w:szCs w:val="28"/>
        </w:rPr>
      </w:pPr>
    </w:p>
    <w:p w14:paraId="11588DD4">
      <w:pPr>
        <w:spacing w:line="420" w:lineRule="exact"/>
        <w:rPr>
          <w:rFonts w:ascii="黑体" w:hAnsi="宋体" w:eastAsia="黑体"/>
          <w:sz w:val="28"/>
          <w:szCs w:val="28"/>
        </w:rPr>
      </w:pPr>
    </w:p>
    <w:p w14:paraId="2F149403">
      <w:pPr>
        <w:spacing w:line="420" w:lineRule="exact"/>
        <w:rPr>
          <w:rFonts w:ascii="黑体" w:hAnsi="宋体" w:eastAsia="黑体"/>
          <w:sz w:val="28"/>
          <w:szCs w:val="28"/>
        </w:rPr>
      </w:pPr>
    </w:p>
    <w:p w14:paraId="687A4C03">
      <w:pPr>
        <w:spacing w:line="420" w:lineRule="exact"/>
        <w:rPr>
          <w:rFonts w:ascii="黑体" w:hAnsi="宋体" w:eastAsia="黑体"/>
          <w:sz w:val="28"/>
          <w:szCs w:val="28"/>
        </w:rPr>
      </w:pPr>
    </w:p>
    <w:p w14:paraId="08418570">
      <w:pPr>
        <w:spacing w:line="420" w:lineRule="exact"/>
        <w:rPr>
          <w:rFonts w:ascii="黑体" w:hAnsi="宋体" w:eastAsia="黑体"/>
          <w:sz w:val="28"/>
          <w:szCs w:val="28"/>
        </w:rPr>
      </w:pPr>
    </w:p>
    <w:p w14:paraId="3BC494A7">
      <w:pPr>
        <w:spacing w:line="420" w:lineRule="exact"/>
        <w:rPr>
          <w:rFonts w:ascii="黑体" w:hAnsi="宋体" w:eastAsia="黑体"/>
          <w:sz w:val="28"/>
          <w:szCs w:val="28"/>
        </w:rPr>
      </w:pPr>
    </w:p>
    <w:p w14:paraId="4A2F9823">
      <w:pPr>
        <w:spacing w:line="420" w:lineRule="exact"/>
        <w:rPr>
          <w:rFonts w:ascii="黑体" w:hAnsi="宋体" w:eastAsia="黑体"/>
          <w:sz w:val="28"/>
          <w:szCs w:val="28"/>
        </w:rPr>
      </w:pPr>
    </w:p>
    <w:p w14:paraId="23A1CCB4">
      <w:pPr>
        <w:spacing w:line="420" w:lineRule="exact"/>
        <w:rPr>
          <w:rFonts w:ascii="黑体" w:hAnsi="宋体" w:eastAsia="黑体"/>
          <w:sz w:val="28"/>
          <w:szCs w:val="28"/>
        </w:rPr>
      </w:pPr>
    </w:p>
    <w:p w14:paraId="68753128">
      <w:pPr>
        <w:spacing w:line="420" w:lineRule="exact"/>
        <w:rPr>
          <w:rFonts w:ascii="黑体" w:hAnsi="宋体" w:eastAsia="黑体"/>
          <w:sz w:val="28"/>
          <w:szCs w:val="28"/>
        </w:rPr>
      </w:pPr>
    </w:p>
    <w:p w14:paraId="03EAAFD9">
      <w:pPr>
        <w:spacing w:line="420" w:lineRule="exact"/>
        <w:rPr>
          <w:rFonts w:ascii="黑体" w:hAnsi="宋体" w:eastAsia="黑体"/>
          <w:sz w:val="28"/>
          <w:szCs w:val="28"/>
        </w:rPr>
      </w:pPr>
    </w:p>
    <w:p w14:paraId="5E3151C1">
      <w:pPr>
        <w:spacing w:line="420" w:lineRule="exact"/>
        <w:rPr>
          <w:rFonts w:ascii="黑体" w:hAnsi="宋体" w:eastAsia="黑体"/>
          <w:sz w:val="28"/>
          <w:szCs w:val="28"/>
        </w:rPr>
      </w:pPr>
    </w:p>
    <w:p w14:paraId="5863A9B2">
      <w:pPr>
        <w:spacing w:line="420" w:lineRule="exact"/>
        <w:rPr>
          <w:rFonts w:ascii="黑体" w:hAnsi="宋体" w:eastAsia="黑体"/>
          <w:sz w:val="28"/>
          <w:szCs w:val="28"/>
        </w:rPr>
      </w:pPr>
    </w:p>
    <w:p w14:paraId="1AF6F155">
      <w:pPr>
        <w:spacing w:line="420" w:lineRule="exact"/>
        <w:rPr>
          <w:rFonts w:ascii="黑体" w:hAnsi="宋体" w:eastAsia="黑体"/>
          <w:sz w:val="28"/>
          <w:szCs w:val="28"/>
        </w:rPr>
      </w:pPr>
    </w:p>
    <w:p w14:paraId="7D8DC13C">
      <w:pPr>
        <w:spacing w:line="420" w:lineRule="exact"/>
        <w:rPr>
          <w:rFonts w:ascii="黑体" w:hAnsi="宋体" w:eastAsia="黑体"/>
          <w:sz w:val="28"/>
          <w:szCs w:val="28"/>
        </w:rPr>
      </w:pPr>
    </w:p>
    <w:p w14:paraId="07D5E1CA">
      <w:pPr>
        <w:spacing w:line="420" w:lineRule="exact"/>
        <w:rPr>
          <w:rFonts w:ascii="黑体" w:hAnsi="宋体" w:eastAsia="黑体"/>
          <w:sz w:val="28"/>
          <w:szCs w:val="28"/>
        </w:rPr>
      </w:pPr>
      <w:r>
        <w:rPr>
          <w:rFonts w:hint="eastAsia" w:ascii="黑体" w:hAnsi="宋体" w:eastAsia="黑体"/>
          <w:sz w:val="28"/>
          <w:szCs w:val="28"/>
        </w:rPr>
        <w:t>—————————————————————————————</w:t>
      </w:r>
    </w:p>
    <w:p w14:paraId="1D80F2C7">
      <w:pPr>
        <w:spacing w:line="420" w:lineRule="exact"/>
        <w:ind w:right="210" w:rightChars="100" w:firstLine="280" w:firstLineChars="100"/>
        <w:jc w:val="left"/>
        <w:rPr>
          <w:rFonts w:ascii="仿宋_GB2312" w:hAnsi="宋体" w:eastAsia="仿宋_GB2312"/>
          <w:sz w:val="28"/>
          <w:szCs w:val="28"/>
        </w:rPr>
      </w:pPr>
      <w:r>
        <w:rPr>
          <w:rFonts w:hint="eastAsia" w:ascii="仿宋_GB2312" w:hAnsi="宋体" w:eastAsia="仿宋_GB2312"/>
          <w:sz w:val="28"/>
          <w:szCs w:val="28"/>
        </w:rPr>
        <w:t xml:space="preserve">广州软件学院教务处 </w:t>
      </w:r>
      <w:r>
        <w:rPr>
          <w:rFonts w:ascii="仿宋_GB2312" w:hAnsi="宋体" w:eastAsia="仿宋_GB2312"/>
          <w:sz w:val="28"/>
          <w:szCs w:val="28"/>
        </w:rPr>
        <w:t xml:space="preserve">   </w:t>
      </w:r>
      <w:r>
        <w:rPr>
          <w:rFonts w:hint="eastAsia" w:ascii="仿宋_GB2312" w:hAnsi="宋体" w:eastAsia="仿宋_GB2312"/>
          <w:sz w:val="28"/>
          <w:szCs w:val="28"/>
        </w:rPr>
        <w:t xml:space="preserve">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202</w:t>
      </w:r>
      <w:r>
        <w:rPr>
          <w:rFonts w:hint="eastAsia" w:ascii="仿宋_GB2312" w:hAnsi="宋体" w:eastAsia="仿宋_GB2312"/>
          <w:sz w:val="28"/>
          <w:szCs w:val="28"/>
          <w:lang w:val="en-US" w:eastAsia="zh-CN"/>
        </w:rPr>
        <w:t>6</w:t>
      </w:r>
      <w:r>
        <w:rPr>
          <w:rFonts w:hint="eastAsia" w:ascii="仿宋_GB2312" w:hAnsi="宋体" w:eastAsia="仿宋_GB2312"/>
          <w:sz w:val="28"/>
          <w:szCs w:val="28"/>
        </w:rPr>
        <w:t>年</w:t>
      </w:r>
      <w:r>
        <w:rPr>
          <w:rFonts w:hint="eastAsia" w:ascii="仿宋_GB2312" w:hAnsi="宋体" w:eastAsia="仿宋_GB2312"/>
          <w:sz w:val="28"/>
          <w:szCs w:val="28"/>
          <w:lang w:val="en-US" w:eastAsia="zh-CN"/>
        </w:rPr>
        <w:t>3</w:t>
      </w:r>
      <w:r>
        <w:rPr>
          <w:rFonts w:hint="eastAsia" w:ascii="仿宋_GB2312" w:hAnsi="宋体" w:eastAsia="仿宋_GB2312"/>
          <w:sz w:val="28"/>
          <w:szCs w:val="28"/>
        </w:rPr>
        <w:t>月</w:t>
      </w:r>
      <w:r>
        <w:rPr>
          <w:rFonts w:hint="eastAsia" w:ascii="仿宋_GB2312" w:hAnsi="宋体" w:eastAsia="仿宋_GB2312" w:cs="宋体"/>
          <w:bCs/>
          <w:kern w:val="0"/>
          <w:sz w:val="28"/>
          <w:szCs w:val="28"/>
          <w:lang w:val="en-US" w:eastAsia="zh-CN"/>
        </w:rPr>
        <w:t>23</w:t>
      </w:r>
      <w:r>
        <w:rPr>
          <w:rFonts w:hint="eastAsia" w:ascii="仿宋_GB2312" w:hAnsi="宋体" w:eastAsia="仿宋_GB2312"/>
          <w:sz w:val="28"/>
          <w:szCs w:val="28"/>
        </w:rPr>
        <w:t xml:space="preserve">日印发 </w:t>
      </w:r>
    </w:p>
    <w:p w14:paraId="5C841A34">
      <w:pPr>
        <w:spacing w:line="420" w:lineRule="exact"/>
        <w:rPr>
          <w:rFonts w:ascii="黑体" w:hAnsi="宋体" w:eastAsia="黑体"/>
          <w:sz w:val="28"/>
          <w:szCs w:val="28"/>
        </w:rPr>
      </w:pPr>
      <w:r>
        <w:rPr>
          <w:rFonts w:hint="eastAsia" w:ascii="黑体" w:hAnsi="宋体" w:eastAsia="黑体"/>
          <w:sz w:val="28"/>
          <w:szCs w:val="28"/>
        </w:rPr>
        <w:t>—————————————————————————————</w:t>
      </w:r>
    </w:p>
    <w:sectPr>
      <w:footerReference r:id="rId11" w:type="first"/>
      <w:footerReference r:id="rId9" w:type="default"/>
      <w:footerReference r:id="rId10" w:type="even"/>
      <w:pgSz w:w="11906" w:h="16838"/>
      <w:pgMar w:top="1440" w:right="1800" w:bottom="1440" w:left="1800"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5F1BA80-52E3-4C53-A506-22887BA82150}"/>
  </w:font>
  <w:font w:name="黑体">
    <w:panose1 w:val="02010609060101010101"/>
    <w:charset w:val="86"/>
    <w:family w:val="auto"/>
    <w:pitch w:val="default"/>
    <w:sig w:usb0="800002BF" w:usb1="38CF7CFA" w:usb2="00000016" w:usb3="00000000" w:csb0="00040001" w:csb1="00000000"/>
    <w:embedRegular r:id="rId2" w:fontKey="{91571B8A-C591-4AE1-8455-098736B595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E9FA065-C53E-4620-AFCF-D8FE35A193F7}"/>
  </w:font>
  <w:font w:name="仿宋_GB2312">
    <w:panose1 w:val="02010609030101010101"/>
    <w:charset w:val="86"/>
    <w:family w:val="modern"/>
    <w:pitch w:val="default"/>
    <w:sig w:usb0="00000001" w:usb1="080E0000" w:usb2="00000000" w:usb3="00000000" w:csb0="00040000" w:csb1="00000000"/>
    <w:embedRegular r:id="rId4" w:fontKey="{C132F060-F4F1-4994-8EB1-662D84536353}"/>
  </w:font>
  <w:font w:name="方正小标宋简体">
    <w:panose1 w:val="02000000000000000000"/>
    <w:charset w:val="86"/>
    <w:family w:val="auto"/>
    <w:pitch w:val="default"/>
    <w:sig w:usb0="00000001" w:usb1="080E0000" w:usb2="00000000" w:usb3="00000000" w:csb0="00040000" w:csb1="00000000"/>
    <w:embedRegular r:id="rId5" w:fontKey="{0A0AACA5-EFC2-4797-8447-25453E4B02FC}"/>
  </w:font>
  <w:font w:name="楷体_GB2312">
    <w:panose1 w:val="02010609030101010101"/>
    <w:charset w:val="86"/>
    <w:family w:val="modern"/>
    <w:pitch w:val="default"/>
    <w:sig w:usb0="00000001" w:usb1="080E0000" w:usb2="00000000" w:usb3="00000000" w:csb0="00040000" w:csb1="00000000"/>
    <w:embedRegular r:id="rId6" w:fontKey="{9BF12911-0BF5-4754-B203-3E1D6514F96F}"/>
  </w:font>
  <w:font w:name="仿宋">
    <w:panose1 w:val="02010609060101010101"/>
    <w:charset w:val="86"/>
    <w:family w:val="modern"/>
    <w:pitch w:val="default"/>
    <w:sig w:usb0="800002BF" w:usb1="38CF7CFA" w:usb2="00000016" w:usb3="00000000" w:csb0="00040001" w:csb1="00000000"/>
    <w:embedRegular r:id="rId7" w:fontKey="{5983946B-BEC8-4BC5-841A-3300E94DF7B7}"/>
  </w:font>
  <w:font w:name="楷体">
    <w:panose1 w:val="02010609060101010101"/>
    <w:charset w:val="86"/>
    <w:family w:val="modern"/>
    <w:pitch w:val="default"/>
    <w:sig w:usb0="800002BF" w:usb1="38CF7CFA" w:usb2="00000016" w:usb3="00000000" w:csb0="00040001" w:csb1="00000000"/>
    <w:embedRegular r:id="rId8" w:fontKey="{5D6A1152-83BB-41F5-8B61-F1F4AC36C93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360B3">
    <w:pPr>
      <w:pStyle w:val="4"/>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4992C8">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F4992C8">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90913">
    <w:pPr>
      <w:pStyle w:val="4"/>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BDC8B4">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ABDC8B4">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AE303">
    <w:pPr>
      <w:pStyle w:val="4"/>
    </w:pPr>
    <w:r>
      <w:rPr>
        <w:sz w:val="18"/>
      </w:rPr>
      <mc:AlternateContent>
        <mc:Choice Requires="wps">
          <w:drawing>
            <wp:anchor distT="0" distB="0" distL="114300" distR="114300" simplePos="0" relativeHeight="251665408" behindDoc="0" locked="0" layoutInCell="1" allowOverlap="1">
              <wp:simplePos x="0" y="0"/>
              <wp:positionH relativeFrom="margin">
                <wp:align>inside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037B8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1037B8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453AB">
    <w:pPr>
      <w:pStyle w:val="4"/>
      <w:ind w:left="360" w:right="90"/>
      <w:jc w:val="right"/>
      <w:rPr>
        <w:rFonts w:asciiTheme="majorEastAsia" w:hAnsiTheme="majorEastAsia" w:eastAsiaTheme="majorEastAsia"/>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833755" cy="229870"/>
              <wp:effectExtent l="0" t="0" r="0" b="0"/>
              <wp:wrapNone/>
              <wp:docPr id="5" name="文本框 5"/>
              <wp:cNvGraphicFramePr/>
              <a:graphic xmlns:a="http://schemas.openxmlformats.org/drawingml/2006/main">
                <a:graphicData uri="http://schemas.microsoft.com/office/word/2010/wordprocessingShape">
                  <wps:wsp>
                    <wps:cNvSpPr txBox="1"/>
                    <wps:spPr>
                      <a:xfrm>
                        <a:off x="0" y="0"/>
                        <a:ext cx="833755" cy="2298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A63A95">
                          <w:pPr>
                            <w:pStyle w:val="4"/>
                            <w:ind w:left="360" w:right="90"/>
                            <w:jc w:val="left"/>
                          </w:pPr>
                          <w:sdt>
                            <w:sdtPr>
                              <w:rPr>
                                <w:rFonts w:asciiTheme="majorEastAsia" w:hAnsiTheme="majorEastAsia" w:eastAsiaTheme="majorEastAsia"/>
                                <w:sz w:val="28"/>
                                <w:szCs w:val="28"/>
                              </w:rPr>
                              <w:id w:val="147455227"/>
                              <w:docPartObj>
                                <w:docPartGallery w:val="autotext"/>
                              </w:docPartObj>
                            </w:sdtPr>
                            <w:sdtEndPr>
                              <w:rPr>
                                <w:rFonts w:asciiTheme="majorEastAsia" w:hAnsiTheme="majorEastAsia" w:eastAsiaTheme="majorEastAsia"/>
                                <w:sz w:val="28"/>
                                <w:szCs w:val="28"/>
                              </w:rPr>
                            </w:sdtEndPr>
                            <w:sdtContent>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9</w:t>
                              </w:r>
                              <w:r>
                                <w:rPr>
                                  <w:rFonts w:asciiTheme="majorEastAsia" w:hAnsiTheme="majorEastAsia" w:eastAsiaTheme="majorEastAsia"/>
                                  <w:sz w:val="28"/>
                                  <w:szCs w:val="28"/>
                                </w:rPr>
                                <w:fldChar w:fldCharType="end"/>
                              </w:r>
                              <w:r>
                                <w:rPr>
                                  <w:rFonts w:asciiTheme="majorEastAsia" w:hAnsiTheme="majorEastAsia" w:eastAsiaTheme="majorEastAsia"/>
                                  <w:sz w:val="28"/>
                                  <w:szCs w:val="28"/>
                                </w:rPr>
                                <w:t xml:space="preserve"> </w:t>
                              </w:r>
                            </w:sdtContent>
                          </w:sdt>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1pt;width:65.65pt;mso-position-horizontal:outside;mso-position-horizontal-relative:margin;z-index:251660288;mso-width-relative:page;mso-height-relative:page;" filled="f" stroked="f" coordsize="21600,21600" o:gfxdata="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U+8WmdUAAAAGAQAADwAAAAAAAAABACAAAAAiAAAAZHJzL2Rvd25yZXYu&#10;eG1sUEsBAhQAFAAAAAgAh07iQKsUE8U3AgAAYQQAAA4AAAAAAAAAAQAgAAAAJAEAAGRycy9lMm9E&#10;b2MueG1sUEsFBgAAAAAGAAYAWQEAAM0FAAAAAA==&#10;">
              <v:fill on="f" focussize="0,0"/>
              <v:stroke on="f" weight="0.5pt"/>
              <v:imagedata o:title=""/>
              <o:lock v:ext="edit" aspectratio="f"/>
              <v:textbox inset="0mm,0mm,0mm,0mm">
                <w:txbxContent>
                  <w:p w14:paraId="2CA63A95">
                    <w:pPr>
                      <w:pStyle w:val="4"/>
                      <w:ind w:left="360" w:right="90"/>
                      <w:jc w:val="left"/>
                    </w:pPr>
                    <w:sdt>
                      <w:sdtPr>
                        <w:rPr>
                          <w:rFonts w:asciiTheme="majorEastAsia" w:hAnsiTheme="majorEastAsia" w:eastAsiaTheme="majorEastAsia"/>
                          <w:sz w:val="28"/>
                          <w:szCs w:val="28"/>
                        </w:rPr>
                        <w:id w:val="147455227"/>
                        <w:docPartObj>
                          <w:docPartGallery w:val="autotext"/>
                        </w:docPartObj>
                      </w:sdtPr>
                      <w:sdtEndPr>
                        <w:rPr>
                          <w:rFonts w:asciiTheme="majorEastAsia" w:hAnsiTheme="majorEastAsia" w:eastAsiaTheme="majorEastAsia"/>
                          <w:sz w:val="28"/>
                          <w:szCs w:val="28"/>
                        </w:rPr>
                      </w:sdtEndPr>
                      <w:sdtContent>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9</w:t>
                        </w:r>
                        <w:r>
                          <w:rPr>
                            <w:rFonts w:asciiTheme="majorEastAsia" w:hAnsiTheme="majorEastAsia" w:eastAsiaTheme="majorEastAsia"/>
                            <w:sz w:val="28"/>
                            <w:szCs w:val="28"/>
                          </w:rPr>
                          <w:fldChar w:fldCharType="end"/>
                        </w:r>
                        <w:r>
                          <w:rPr>
                            <w:rFonts w:asciiTheme="majorEastAsia" w:hAnsiTheme="majorEastAsia" w:eastAsiaTheme="majorEastAsia"/>
                            <w:sz w:val="28"/>
                            <w:szCs w:val="28"/>
                          </w:rPr>
                          <w:t xml:space="preserve"> </w:t>
                        </w:r>
                      </w:sdtContent>
                    </w:sdt>
                  </w:p>
                </w:txbxContent>
              </v:textbox>
            </v:shape>
          </w:pict>
        </mc:Fallback>
      </mc:AlternateContent>
    </w:r>
  </w:p>
  <w:p w14:paraId="340E9FF3">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B5C96">
    <w:pPr>
      <w:pStyle w:val="4"/>
      <w:rPr>
        <w:rFonts w:asciiTheme="majorEastAsia" w:hAnsiTheme="majorEastAsia" w:eastAsiaTheme="majorEastAsia"/>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E72CB">
                          <w:pPr>
                            <w:pStyle w:val="4"/>
                          </w:pPr>
                          <w:sdt>
                            <w:sdtPr>
                              <w:rPr>
                                <w:rFonts w:asciiTheme="majorEastAsia" w:hAnsiTheme="majorEastAsia" w:eastAsiaTheme="majorEastAsia"/>
                                <w:sz w:val="28"/>
                                <w:szCs w:val="28"/>
                              </w:rPr>
                              <w:id w:val="147476859"/>
                              <w:docPartObj>
                                <w:docPartGallery w:val="autotext"/>
                              </w:docPartObj>
                            </w:sdtPr>
                            <w:sdtEndPr>
                              <w:rPr>
                                <w:rFonts w:asciiTheme="majorEastAsia" w:hAnsiTheme="majorEastAsia" w:eastAsiaTheme="majorEastAsia"/>
                                <w:sz w:val="28"/>
                                <w:szCs w:val="28"/>
                              </w:rPr>
                            </w:sdtEndPr>
                            <w:sdtContent>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12</w:t>
                              </w:r>
                              <w:r>
                                <w:rPr>
                                  <w:rFonts w:asciiTheme="majorEastAsia" w:hAnsiTheme="majorEastAsia" w:eastAsiaTheme="majorEastAsia"/>
                                  <w:sz w:val="28"/>
                                  <w:szCs w:val="28"/>
                                </w:rPr>
                                <w:fldChar w:fldCharType="end"/>
                              </w: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ABE72CB">
                    <w:pPr>
                      <w:pStyle w:val="4"/>
                    </w:pPr>
                    <w:sdt>
                      <w:sdtPr>
                        <w:rPr>
                          <w:rFonts w:asciiTheme="majorEastAsia" w:hAnsiTheme="majorEastAsia" w:eastAsiaTheme="majorEastAsia"/>
                          <w:sz w:val="28"/>
                          <w:szCs w:val="28"/>
                        </w:rPr>
                        <w:id w:val="147476859"/>
                        <w:docPartObj>
                          <w:docPartGallery w:val="autotext"/>
                        </w:docPartObj>
                      </w:sdtPr>
                      <w:sdtEndPr>
                        <w:rPr>
                          <w:rFonts w:asciiTheme="majorEastAsia" w:hAnsiTheme="majorEastAsia" w:eastAsiaTheme="majorEastAsia"/>
                          <w:sz w:val="28"/>
                          <w:szCs w:val="28"/>
                        </w:rPr>
                      </w:sdtEndPr>
                      <w:sdtContent>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12</w:t>
                        </w:r>
                        <w:r>
                          <w:rPr>
                            <w:rFonts w:asciiTheme="majorEastAsia" w:hAnsiTheme="majorEastAsia" w:eastAsiaTheme="majorEastAsia"/>
                            <w:sz w:val="28"/>
                            <w:szCs w:val="28"/>
                          </w:rPr>
                          <w:fldChar w:fldCharType="end"/>
                        </w:r>
                      </w:sdtContent>
                    </w:sdt>
                  </w:p>
                </w:txbxContent>
              </v:textbox>
            </v:shape>
          </w:pict>
        </mc:Fallback>
      </mc:AlternateContent>
    </w:r>
  </w:p>
  <w:p w14:paraId="4D0BBEBC">
    <w:pPr>
      <w:pStyle w:val="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33CBC">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06608F">
                          <w:pPr>
                            <w:pStyle w:val="4"/>
                          </w:pPr>
                          <w:sdt>
                            <w:sdtPr>
                              <w:rPr>
                                <w:rFonts w:ascii="宋体" w:hAnsi="宋体" w:eastAsia="宋体"/>
                                <w:sz w:val="28"/>
                                <w:szCs w:val="28"/>
                              </w:rPr>
                              <w:id w:val="147467713"/>
                              <w:docPartObj>
                                <w:docPartGallery w:val="autotext"/>
                              </w:docPartObj>
                            </w:sdtPr>
                            <w:sdtEndPr>
                              <w:rPr>
                                <w:rFonts w:asciiTheme="minorHAnsi" w:hAnsiTheme="minorHAnsi" w:eastAsiaTheme="minorEastAsia"/>
                                <w:sz w:val="18"/>
                                <w:szCs w:val="18"/>
                              </w:rPr>
                            </w:sdtEndPr>
                            <w:sdtContent>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8</w:t>
                              </w:r>
                              <w:r>
                                <w:rPr>
                                  <w:rFonts w:ascii="宋体" w:hAnsi="宋体" w:eastAsia="宋体"/>
                                  <w:sz w:val="28"/>
                                  <w:szCs w:val="28"/>
                                </w:rPr>
                                <w:fldChar w:fldCharType="end"/>
                              </w:r>
                              <w:r>
                                <w:rPr>
                                  <w:rFonts w:ascii="宋体" w:hAnsi="宋体" w:eastAsia="宋体"/>
                                  <w:sz w:val="28"/>
                                  <w:szCs w:val="28"/>
                                </w:rPr>
                                <w:t xml:space="preserve"> </w:t>
                              </w: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606608F">
                    <w:pPr>
                      <w:pStyle w:val="4"/>
                    </w:pPr>
                    <w:sdt>
                      <w:sdtPr>
                        <w:rPr>
                          <w:rFonts w:ascii="宋体" w:hAnsi="宋体" w:eastAsia="宋体"/>
                          <w:sz w:val="28"/>
                          <w:szCs w:val="28"/>
                        </w:rPr>
                        <w:id w:val="147467713"/>
                        <w:docPartObj>
                          <w:docPartGallery w:val="autotext"/>
                        </w:docPartObj>
                      </w:sdtPr>
                      <w:sdtEndPr>
                        <w:rPr>
                          <w:rFonts w:asciiTheme="minorHAnsi" w:hAnsiTheme="minorHAnsi" w:eastAsiaTheme="minorEastAsia"/>
                          <w:sz w:val="18"/>
                          <w:szCs w:val="18"/>
                        </w:rPr>
                      </w:sdtEndPr>
                      <w:sdtContent>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8</w:t>
                        </w:r>
                        <w:r>
                          <w:rPr>
                            <w:rFonts w:ascii="宋体" w:hAnsi="宋体" w:eastAsia="宋体"/>
                            <w:sz w:val="28"/>
                            <w:szCs w:val="28"/>
                          </w:rPr>
                          <w:fldChar w:fldCharType="end"/>
                        </w:r>
                        <w:r>
                          <w:rPr>
                            <w:rFonts w:ascii="宋体" w:hAnsi="宋体" w:eastAsia="宋体"/>
                            <w:sz w:val="28"/>
                            <w:szCs w:val="28"/>
                          </w:rPr>
                          <w:t xml:space="preserve"> </w:t>
                        </w:r>
                      </w:sdtContent>
                    </w:sdt>
                  </w:p>
                </w:txbxContent>
              </v:textbox>
            </v:shape>
          </w:pict>
        </mc:Fallback>
      </mc:AlternateContent>
    </w:r>
  </w:p>
  <w:p w14:paraId="062B7B26">
    <w:pPr>
      <w:pStyle w:val="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4F0EB">
    <w:pPr>
      <w:pStyle w:val="4"/>
      <w:ind w:left="360" w:right="90"/>
      <w:jc w:val="right"/>
      <w:rPr>
        <w:rFonts w:asciiTheme="majorEastAsia" w:hAnsiTheme="majorEastAsia" w:eastAsiaTheme="majorEastAsia"/>
        <w:sz w:val="28"/>
        <w:szCs w:val="28"/>
      </w:rPr>
    </w:pPr>
  </w:p>
  <w:p w14:paraId="7FB6C3E6">
    <w:pPr>
      <w:pStyle w:val="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CAE13">
    <w:pPr>
      <w:pStyle w:val="4"/>
      <w:rPr>
        <w:rFonts w:asciiTheme="majorEastAsia" w:hAnsiTheme="majorEastAsia" w:eastAsiaTheme="majorEastAsia"/>
        <w:sz w:val="28"/>
        <w:szCs w:val="28"/>
      </w:rPr>
    </w:pPr>
  </w:p>
  <w:p w14:paraId="25E17FDA">
    <w:pPr>
      <w:pStyle w:val="4"/>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14EB2">
    <w:pPr>
      <w:pStyle w:val="4"/>
    </w:pPr>
  </w:p>
  <w:p w14:paraId="2BD26E82">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dit="readOnly"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yM2I0ZTVhNTgwNzE2N2FmZGQ2ZjNmOGE3ZGQ5NzcifQ=="/>
    <w:docVar w:name="KGWebUrl" w:val="https://oa.seig.edu.cn:443/seeyon/officeservlet"/>
  </w:docVars>
  <w:rsids>
    <w:rsidRoot w:val="00C15885"/>
    <w:rsid w:val="00011CD3"/>
    <w:rsid w:val="00076311"/>
    <w:rsid w:val="000853C5"/>
    <w:rsid w:val="000B4A7A"/>
    <w:rsid w:val="000B5E68"/>
    <w:rsid w:val="000E0765"/>
    <w:rsid w:val="001013E8"/>
    <w:rsid w:val="001022EA"/>
    <w:rsid w:val="00123FF2"/>
    <w:rsid w:val="00153DB7"/>
    <w:rsid w:val="001801BA"/>
    <w:rsid w:val="001F022B"/>
    <w:rsid w:val="00205B85"/>
    <w:rsid w:val="00220F37"/>
    <w:rsid w:val="002B0EBF"/>
    <w:rsid w:val="002B1660"/>
    <w:rsid w:val="002C42A6"/>
    <w:rsid w:val="002D5CAC"/>
    <w:rsid w:val="003025AC"/>
    <w:rsid w:val="00306BE7"/>
    <w:rsid w:val="00321735"/>
    <w:rsid w:val="00341104"/>
    <w:rsid w:val="003460F3"/>
    <w:rsid w:val="00352F05"/>
    <w:rsid w:val="0038270A"/>
    <w:rsid w:val="003A039B"/>
    <w:rsid w:val="003C7737"/>
    <w:rsid w:val="003D1DAB"/>
    <w:rsid w:val="00400F3C"/>
    <w:rsid w:val="00447627"/>
    <w:rsid w:val="00450C08"/>
    <w:rsid w:val="004852F1"/>
    <w:rsid w:val="004966C9"/>
    <w:rsid w:val="004B59CF"/>
    <w:rsid w:val="004B6A16"/>
    <w:rsid w:val="004B7CDC"/>
    <w:rsid w:val="004D0547"/>
    <w:rsid w:val="0050693B"/>
    <w:rsid w:val="00554770"/>
    <w:rsid w:val="005609B8"/>
    <w:rsid w:val="00577B54"/>
    <w:rsid w:val="00582597"/>
    <w:rsid w:val="00585879"/>
    <w:rsid w:val="00595320"/>
    <w:rsid w:val="005C43CE"/>
    <w:rsid w:val="00604B51"/>
    <w:rsid w:val="00643733"/>
    <w:rsid w:val="006461B2"/>
    <w:rsid w:val="006748B1"/>
    <w:rsid w:val="006E1D34"/>
    <w:rsid w:val="006E3705"/>
    <w:rsid w:val="006E573E"/>
    <w:rsid w:val="006E5C17"/>
    <w:rsid w:val="006F46E9"/>
    <w:rsid w:val="00702BB9"/>
    <w:rsid w:val="00704A10"/>
    <w:rsid w:val="00720083"/>
    <w:rsid w:val="0072046F"/>
    <w:rsid w:val="007238AC"/>
    <w:rsid w:val="00776FC3"/>
    <w:rsid w:val="007A3346"/>
    <w:rsid w:val="007D5014"/>
    <w:rsid w:val="008473B3"/>
    <w:rsid w:val="00865CD5"/>
    <w:rsid w:val="008A6145"/>
    <w:rsid w:val="008E41AE"/>
    <w:rsid w:val="009279F2"/>
    <w:rsid w:val="00930795"/>
    <w:rsid w:val="0093203F"/>
    <w:rsid w:val="00965635"/>
    <w:rsid w:val="00971F84"/>
    <w:rsid w:val="00997136"/>
    <w:rsid w:val="009D2E63"/>
    <w:rsid w:val="00A10C19"/>
    <w:rsid w:val="00A21520"/>
    <w:rsid w:val="00A33C81"/>
    <w:rsid w:val="00A40DC0"/>
    <w:rsid w:val="00A60C28"/>
    <w:rsid w:val="00A85A8C"/>
    <w:rsid w:val="00AD5894"/>
    <w:rsid w:val="00AE667D"/>
    <w:rsid w:val="00B26AED"/>
    <w:rsid w:val="00B34F21"/>
    <w:rsid w:val="00B45FCB"/>
    <w:rsid w:val="00B54972"/>
    <w:rsid w:val="00B81394"/>
    <w:rsid w:val="00BB79CF"/>
    <w:rsid w:val="00BD04BE"/>
    <w:rsid w:val="00BD72BD"/>
    <w:rsid w:val="00BF13AC"/>
    <w:rsid w:val="00C12698"/>
    <w:rsid w:val="00C15885"/>
    <w:rsid w:val="00C359E3"/>
    <w:rsid w:val="00C44E20"/>
    <w:rsid w:val="00CA15E1"/>
    <w:rsid w:val="00D27256"/>
    <w:rsid w:val="00D67E41"/>
    <w:rsid w:val="00D847CF"/>
    <w:rsid w:val="00D85FF0"/>
    <w:rsid w:val="00DA16E4"/>
    <w:rsid w:val="00E073C2"/>
    <w:rsid w:val="00E16D22"/>
    <w:rsid w:val="00E4165F"/>
    <w:rsid w:val="00E46BEC"/>
    <w:rsid w:val="00E47374"/>
    <w:rsid w:val="00E5707D"/>
    <w:rsid w:val="00E632E3"/>
    <w:rsid w:val="00E9393E"/>
    <w:rsid w:val="00EA282F"/>
    <w:rsid w:val="00EB5120"/>
    <w:rsid w:val="00EB5165"/>
    <w:rsid w:val="00ED01F9"/>
    <w:rsid w:val="00EE7B81"/>
    <w:rsid w:val="00F0068C"/>
    <w:rsid w:val="00F0434E"/>
    <w:rsid w:val="00F33E57"/>
    <w:rsid w:val="00F51FAB"/>
    <w:rsid w:val="00F75BE6"/>
    <w:rsid w:val="00F8680E"/>
    <w:rsid w:val="00FC0D00"/>
    <w:rsid w:val="00FC1B8E"/>
    <w:rsid w:val="00FC58F1"/>
    <w:rsid w:val="00FD7552"/>
    <w:rsid w:val="00FE0937"/>
    <w:rsid w:val="00FF16C5"/>
    <w:rsid w:val="05BD0878"/>
    <w:rsid w:val="087C701C"/>
    <w:rsid w:val="0E9178BB"/>
    <w:rsid w:val="0F18037C"/>
    <w:rsid w:val="119709FA"/>
    <w:rsid w:val="161A5018"/>
    <w:rsid w:val="2206335E"/>
    <w:rsid w:val="225F56B1"/>
    <w:rsid w:val="243F117F"/>
    <w:rsid w:val="24C52BBA"/>
    <w:rsid w:val="25A62424"/>
    <w:rsid w:val="29A83C50"/>
    <w:rsid w:val="2A6B59EA"/>
    <w:rsid w:val="2B9061B1"/>
    <w:rsid w:val="2DCF3CB9"/>
    <w:rsid w:val="2E644896"/>
    <w:rsid w:val="2EE272C5"/>
    <w:rsid w:val="31EC4E92"/>
    <w:rsid w:val="33DA172A"/>
    <w:rsid w:val="36B9329C"/>
    <w:rsid w:val="3D073499"/>
    <w:rsid w:val="428C2DD6"/>
    <w:rsid w:val="468B47AB"/>
    <w:rsid w:val="47C263A5"/>
    <w:rsid w:val="47D4536A"/>
    <w:rsid w:val="4C537145"/>
    <w:rsid w:val="4ECC48B7"/>
    <w:rsid w:val="50490129"/>
    <w:rsid w:val="5EB522EE"/>
    <w:rsid w:val="60C913AE"/>
    <w:rsid w:val="64A25031"/>
    <w:rsid w:val="673F4E70"/>
    <w:rsid w:val="67BC5ABE"/>
    <w:rsid w:val="6A9D690B"/>
    <w:rsid w:val="6EB25994"/>
    <w:rsid w:val="70BF07BB"/>
    <w:rsid w:val="7B9671CE"/>
    <w:rsid w:val="7BCE642F"/>
    <w:rsid w:val="7F5D08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14"/>
    <w:semiHidden/>
    <w:unhideWhenUsed/>
    <w:qFormat/>
    <w:uiPriority w:val="99"/>
    <w:pPr>
      <w:spacing w:line="480" w:lineRule="exact"/>
      <w:ind w:firstLine="570"/>
    </w:pPr>
    <w:rPr>
      <w:rFonts w:ascii="仿宋_GB2312" w:hAnsi="宋体" w:eastAsia="仿宋_GB2312" w:cs="仿宋_GB2312"/>
      <w:sz w:val="32"/>
      <w:szCs w:val="32"/>
    </w:rPr>
  </w:style>
  <w:style w:type="paragraph" w:styleId="3">
    <w:name w:val="Balloon Text"/>
    <w:basedOn w:val="1"/>
    <w:link w:val="13"/>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39"/>
    <w:rPr>
      <w:rFonts w:ascii="Calibri" w:hAnsi="Calibri"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Strong"/>
    <w:basedOn w:val="9"/>
    <w:qFormat/>
    <w:uiPriority w:val="22"/>
    <w:rPr>
      <w:rFonts w:ascii="Times New Roman" w:hAnsi="Times New Roman" w:eastAsia="宋体" w:cs="Times New Roman"/>
      <w:b/>
      <w:bCs/>
      <w:lang w:val="en-US" w:eastAsia="zh-CN" w:bidi="ar-SA"/>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character" w:customStyle="1" w:styleId="13">
    <w:name w:val="批注框文本 字符"/>
    <w:basedOn w:val="9"/>
    <w:link w:val="3"/>
    <w:semiHidden/>
    <w:qFormat/>
    <w:uiPriority w:val="99"/>
    <w:rPr>
      <w:sz w:val="18"/>
      <w:szCs w:val="18"/>
    </w:rPr>
  </w:style>
  <w:style w:type="character" w:customStyle="1" w:styleId="14">
    <w:name w:val="正文文本缩进 2 字符"/>
    <w:basedOn w:val="9"/>
    <w:link w:val="2"/>
    <w:qFormat/>
    <w:uiPriority w:val="99"/>
    <w:rPr>
      <w:rFonts w:ascii="仿宋_GB2312" w:hAnsi="宋体" w:eastAsia="仿宋_GB2312" w:cs="仿宋_GB2312"/>
      <w:sz w:val="32"/>
      <w:szCs w:val="32"/>
    </w:rPr>
  </w:style>
  <w:style w:type="paragraph" w:customStyle="1" w:styleId="15">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6">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7">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styleId="18">
    <w:name w:val="List Paragraph"/>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9096F9-891A-4A5A-84C0-65861BB3327E}">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15</Pages>
  <Words>5894</Words>
  <Characters>5990</Characters>
  <Lines>23</Lines>
  <Paragraphs>6</Paragraphs>
  <TotalTime>1</TotalTime>
  <ScaleCrop>false</ScaleCrop>
  <LinksUpToDate>false</LinksUpToDate>
  <CharactersWithSpaces>6048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2025-09-10T07:51:00Z</dcterms:created>
  <dc:creator>MC SYSTEM</dc:creator>
  <cp:lastModifiedBy>黄晓艺</cp:lastModifiedBy>
  <cp:lastPrinted>2025-09-10T07:36:00Z</cp:lastPrinted>
  <dcterms:modified xsi:type="dcterms:W3CDTF">2026-04-02T10:10:49Z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F65830B1BA534513B21A74D7AD4C92A6_13</vt:lpwstr>
  </property>
  <property fmtid="{D5CDD505-2E9C-101B-9397-08002B2CF9AE}" pid="4" name="KSOTemplateDocerSaveRecord">
    <vt:lpwstr>eyJoZGlkIjoiODM2YzNiYjdmYmJhNTcxMzIwYTE3NzVkMWYyZDVkNmMiLCJ1c2VySWQiOiIxNDA2MTk2NDI1In0=</vt:lpwstr>
  </property>
</Properties>
</file>